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698F5" w14:textId="77777777" w:rsidR="005307BF" w:rsidRDefault="005F1225">
      <w:pPr>
        <w:pStyle w:val="BodyText"/>
        <w:ind w:left="109" w:right="-15"/>
        <w:rPr>
          <w:sz w:val="20"/>
        </w:rPr>
      </w:pPr>
      <w:bookmarkStart w:id="0" w:name="_GoBack"/>
      <w:bookmarkEnd w:id="0"/>
      <w:r>
        <w:rPr>
          <w:noProof/>
          <w:sz w:val="20"/>
        </w:rPr>
        <w:drawing>
          <wp:inline distT="0" distB="0" distL="0" distR="0" wp14:anchorId="610BFB4E" wp14:editId="23B4C384">
            <wp:extent cx="1192912" cy="68884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192912" cy="688848"/>
                    </a:xfrm>
                    <a:prstGeom prst="rect">
                      <a:avLst/>
                    </a:prstGeom>
                  </pic:spPr>
                </pic:pic>
              </a:graphicData>
            </a:graphic>
          </wp:inline>
        </w:drawing>
      </w:r>
    </w:p>
    <w:p w14:paraId="7EE9CDCA" w14:textId="77777777" w:rsidR="005307BF" w:rsidRDefault="005F1225">
      <w:pPr>
        <w:pStyle w:val="BodyText"/>
        <w:spacing w:before="221"/>
        <w:ind w:left="1060"/>
      </w:pPr>
      <w:r>
        <w:rPr>
          <w:u w:val="single"/>
        </w:rPr>
        <w:t>MEMO</w:t>
      </w:r>
    </w:p>
    <w:p w14:paraId="6A88CDB8" w14:textId="76E2E91A" w:rsidR="005307BF" w:rsidRDefault="005F1225">
      <w:pPr>
        <w:spacing w:before="231"/>
        <w:ind w:left="108"/>
        <w:rPr>
          <w:rFonts w:ascii="Calibri"/>
          <w:sz w:val="32"/>
        </w:rPr>
      </w:pPr>
      <w:r>
        <w:br w:type="column"/>
      </w:r>
      <w:r w:rsidR="00F53400">
        <w:t xml:space="preserve">                  </w:t>
      </w:r>
      <w:r>
        <w:rPr>
          <w:rFonts w:ascii="Calibri"/>
          <w:color w:val="336699"/>
          <w:sz w:val="32"/>
        </w:rPr>
        <w:t xml:space="preserve">Local Government Services </w:t>
      </w:r>
    </w:p>
    <w:p w14:paraId="1D48F81E" w14:textId="68F20827" w:rsidR="005307BF" w:rsidRDefault="005F1225">
      <w:pPr>
        <w:spacing w:before="187"/>
        <w:ind w:left="2132" w:right="145" w:hanging="41"/>
        <w:jc w:val="both"/>
        <w:rPr>
          <w:rFonts w:ascii="Calibri"/>
          <w:sz w:val="20"/>
        </w:rPr>
      </w:pPr>
      <w:r>
        <w:rPr>
          <w:noProof/>
        </w:rPr>
        <mc:AlternateContent>
          <mc:Choice Requires="wps">
            <w:drawing>
              <wp:anchor distT="0" distB="0" distL="114300" distR="114300" simplePos="0" relativeHeight="251657216" behindDoc="0" locked="0" layoutInCell="1" allowOverlap="1" wp14:anchorId="68BD732C" wp14:editId="0EDDAAE7">
                <wp:simplePos x="0" y="0"/>
                <wp:positionH relativeFrom="page">
                  <wp:posOffset>1913255</wp:posOffset>
                </wp:positionH>
                <wp:positionV relativeFrom="paragraph">
                  <wp:posOffset>48895</wp:posOffset>
                </wp:positionV>
                <wp:extent cx="5486400" cy="0"/>
                <wp:effectExtent l="17780" t="12065" r="10795" b="1651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66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CF91F" id="Line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0.65pt,3.85pt" to="582.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" strokecolor="#069" strokeweight="1.5pt">
                <w10:wrap anchorx="page"/>
              </v:line>
            </w:pict>
          </mc:Fallback>
        </mc:AlternateContent>
      </w:r>
      <w:r>
        <w:rPr>
          <w:rFonts w:ascii="Calibri"/>
          <w:color w:val="818181"/>
          <w:sz w:val="20"/>
        </w:rPr>
        <w:t>State Financial Services Division Department of Administration 125 North Roberts, Helena, MT</w:t>
      </w:r>
    </w:p>
    <w:p w14:paraId="13635C6F" w14:textId="77777777" w:rsidR="005307BF" w:rsidRDefault="005307BF">
      <w:pPr>
        <w:jc w:val="both"/>
        <w:rPr>
          <w:rFonts w:ascii="Calibri"/>
          <w:sz w:val="20"/>
        </w:rPr>
        <w:sectPr w:rsidR="005307BF">
          <w:type w:val="continuous"/>
          <w:pgSz w:w="12240" w:h="15840"/>
          <w:pgMar w:top="340" w:right="420" w:bottom="0" w:left="380" w:header="720" w:footer="720" w:gutter="0"/>
          <w:cols w:num="2" w:space="720" w:equalWidth="0">
            <w:col w:w="2019" w:space="4608"/>
            <w:col w:w="4813"/>
          </w:cols>
        </w:sectPr>
      </w:pPr>
    </w:p>
    <w:p w14:paraId="65DDD761" w14:textId="7B476FB3" w:rsidR="005307BF" w:rsidRDefault="005F1225">
      <w:pPr>
        <w:pStyle w:val="BodyText"/>
        <w:tabs>
          <w:tab w:val="left" w:pos="2139"/>
        </w:tabs>
        <w:spacing w:before="183"/>
        <w:ind w:left="2140" w:right="1062" w:hanging="1080"/>
      </w:pPr>
      <w:r>
        <w:t>TO:</w:t>
      </w:r>
      <w:r>
        <w:tab/>
      </w:r>
      <w:r w:rsidR="009A5156">
        <w:t>Audit Roster Members</w:t>
      </w:r>
    </w:p>
    <w:p w14:paraId="0A9C81E7" w14:textId="77777777" w:rsidR="005307BF" w:rsidRDefault="005307BF">
      <w:pPr>
        <w:pStyle w:val="BodyText"/>
        <w:spacing w:before="10"/>
        <w:rPr>
          <w:sz w:val="20"/>
        </w:rPr>
      </w:pPr>
    </w:p>
    <w:p w14:paraId="31303058" w14:textId="6BE9DA8E" w:rsidR="005307BF" w:rsidRDefault="005F1225">
      <w:pPr>
        <w:pStyle w:val="BodyText"/>
        <w:tabs>
          <w:tab w:val="left" w:pos="2139"/>
        </w:tabs>
        <w:spacing w:line="448" w:lineRule="auto"/>
        <w:ind w:left="1059" w:right="6620"/>
      </w:pPr>
      <w:r>
        <w:t>FROM:</w:t>
      </w:r>
      <w:r>
        <w:tab/>
        <w:t xml:space="preserve">Local Government </w:t>
      </w:r>
      <w:r>
        <w:rPr>
          <w:spacing w:val="-3"/>
        </w:rPr>
        <w:t xml:space="preserve">Services </w:t>
      </w:r>
      <w:r>
        <w:t>DATE:</w:t>
      </w:r>
      <w:r>
        <w:tab/>
      </w:r>
      <w:r w:rsidR="00F77596" w:rsidRPr="004567A2">
        <w:t xml:space="preserve">November </w:t>
      </w:r>
      <w:r w:rsidR="00843B5C" w:rsidRPr="004567A2">
        <w:t>14</w:t>
      </w:r>
      <w:r w:rsidRPr="004567A2">
        <w:t>,</w:t>
      </w:r>
      <w:r w:rsidRPr="004567A2">
        <w:rPr>
          <w:spacing w:val="-8"/>
        </w:rPr>
        <w:t xml:space="preserve"> </w:t>
      </w:r>
      <w:r w:rsidRPr="004567A2">
        <w:t>2018</w:t>
      </w:r>
    </w:p>
    <w:p w14:paraId="20BB6701" w14:textId="77777777" w:rsidR="005307BF" w:rsidRDefault="005F1225">
      <w:pPr>
        <w:pStyle w:val="BodyText"/>
        <w:tabs>
          <w:tab w:val="left" w:pos="2139"/>
        </w:tabs>
        <w:ind w:left="1059"/>
      </w:pPr>
      <w:r>
        <w:t>RE:</w:t>
      </w:r>
      <w:r>
        <w:tab/>
      </w:r>
      <w:r w:rsidRPr="00C56C6A">
        <w:t>Audit finding and submission</w:t>
      </w:r>
      <w:r w:rsidRPr="00C56C6A">
        <w:rPr>
          <w:spacing w:val="-4"/>
        </w:rPr>
        <w:t xml:space="preserve"> </w:t>
      </w:r>
      <w:r w:rsidRPr="00C56C6A">
        <w:t>considerations</w:t>
      </w:r>
    </w:p>
    <w:p w14:paraId="4ECAB1C0" w14:textId="77777777" w:rsidR="005307BF" w:rsidRDefault="005F1225">
      <w:pPr>
        <w:pStyle w:val="BodyText"/>
        <w:spacing w:before="194"/>
        <w:ind w:left="1059"/>
      </w:pPr>
      <w:r>
        <w:t>Roster Members:</w:t>
      </w:r>
    </w:p>
    <w:p w14:paraId="5111E013" w14:textId="77777777" w:rsidR="005307BF" w:rsidRDefault="005307BF">
      <w:pPr>
        <w:pStyle w:val="BodyText"/>
        <w:rPr>
          <w:sz w:val="26"/>
        </w:rPr>
      </w:pPr>
    </w:p>
    <w:p w14:paraId="404CB6B1" w14:textId="226EE651" w:rsidR="005307BF" w:rsidRDefault="00551427">
      <w:pPr>
        <w:pStyle w:val="BodyText"/>
        <w:spacing w:line="259" w:lineRule="auto"/>
        <w:ind w:left="1059" w:right="1123"/>
      </w:pPr>
      <w:r>
        <w:t>W</w:t>
      </w:r>
      <w:r w:rsidR="00594A06">
        <w:t xml:space="preserve">e are beginning to review fiscal year 2018 audit reports and have updated our review checklist which can be found at </w:t>
      </w:r>
      <w:hyperlink r:id="rId6" w:history="1">
        <w:r w:rsidR="004567A2" w:rsidRPr="004567A2">
          <w:rPr>
            <w:rStyle w:val="Hyperlink"/>
          </w:rPr>
          <w:t>this link.</w:t>
        </w:r>
      </w:hyperlink>
      <w:r w:rsidR="004567A2">
        <w:t xml:space="preserve">  W</w:t>
      </w:r>
      <w:r w:rsidR="00594A06">
        <w:t xml:space="preserve">e want </w:t>
      </w:r>
      <w:r w:rsidR="005F1225">
        <w:t xml:space="preserve">to provide </w:t>
      </w:r>
      <w:r w:rsidR="001524C3">
        <w:t>several</w:t>
      </w:r>
      <w:r w:rsidR="005F1225">
        <w:t xml:space="preserve"> reminders and considerations </w:t>
      </w:r>
      <w:r w:rsidR="00594A06">
        <w:t>to</w:t>
      </w:r>
      <w:r w:rsidR="005F1225">
        <w:t xml:space="preserve"> keep in mind when performing audits or submitting the results of your audits to us:</w:t>
      </w:r>
    </w:p>
    <w:p w14:paraId="28A876C9" w14:textId="77777777" w:rsidR="00F87BDF" w:rsidRDefault="00F87BDF">
      <w:pPr>
        <w:pStyle w:val="BodyText"/>
        <w:spacing w:line="259" w:lineRule="auto"/>
        <w:ind w:left="1059" w:right="1123"/>
      </w:pPr>
    </w:p>
    <w:p w14:paraId="7451B1AF" w14:textId="35300790" w:rsidR="00F87BDF" w:rsidRPr="00F87BDF" w:rsidRDefault="00F87BDF" w:rsidP="00F87BDF">
      <w:pPr>
        <w:pStyle w:val="ListParagraph"/>
        <w:numPr>
          <w:ilvl w:val="0"/>
          <w:numId w:val="1"/>
        </w:numPr>
        <w:tabs>
          <w:tab w:val="left" w:pos="1420"/>
        </w:tabs>
        <w:ind w:left="1426" w:right="1238"/>
        <w:rPr>
          <w:sz w:val="24"/>
        </w:rPr>
      </w:pPr>
      <w:r w:rsidRPr="00F87BDF">
        <w:rPr>
          <w:sz w:val="24"/>
        </w:rPr>
        <w:t xml:space="preserve">All audits must be </w:t>
      </w:r>
      <w:r w:rsidR="00C56C6A" w:rsidRPr="00F87BDF">
        <w:rPr>
          <w:sz w:val="24"/>
        </w:rPr>
        <w:t>completed</w:t>
      </w:r>
      <w:r w:rsidRPr="00F87BDF">
        <w:rPr>
          <w:sz w:val="24"/>
        </w:rPr>
        <w:t xml:space="preserve"> and the reports issued within one year from the close of the last fiscal year covered by the audit.  If the audit is conducted in accordance with the provisions of Uniform Guidance, the due date is within nine months from the close of the last fiscal year covered by the audit.</w:t>
      </w:r>
    </w:p>
    <w:p w14:paraId="479CF1E7" w14:textId="6684749F" w:rsidR="00F77596" w:rsidRPr="00F87BDF" w:rsidRDefault="00F77596" w:rsidP="00F87BDF">
      <w:pPr>
        <w:pStyle w:val="ListParagraph"/>
        <w:numPr>
          <w:ilvl w:val="0"/>
          <w:numId w:val="1"/>
        </w:numPr>
        <w:tabs>
          <w:tab w:val="left" w:pos="1420"/>
        </w:tabs>
        <w:ind w:left="1426" w:right="1238"/>
        <w:rPr>
          <w:sz w:val="24"/>
        </w:rPr>
      </w:pPr>
      <w:r w:rsidRPr="00F87BDF">
        <w:rPr>
          <w:sz w:val="24"/>
        </w:rPr>
        <w:t xml:space="preserve">A report </w:t>
      </w:r>
      <w:r w:rsidR="00B2282E" w:rsidRPr="00F87BDF">
        <w:rPr>
          <w:sz w:val="24"/>
        </w:rPr>
        <w:t xml:space="preserve">presenting </w:t>
      </w:r>
      <w:r w:rsidR="00F87BDF">
        <w:rPr>
          <w:sz w:val="24"/>
        </w:rPr>
        <w:t xml:space="preserve">the status of </w:t>
      </w:r>
      <w:r w:rsidR="00B2282E" w:rsidRPr="00F87BDF">
        <w:rPr>
          <w:sz w:val="24"/>
        </w:rPr>
        <w:t>prior year audit findings must be included in the current year audit report.  The report must include the actions taken by your clients to correct the reported deficiencies.  See the Standard Audit Contract ¶</w:t>
      </w:r>
      <w:r w:rsidRPr="00F87BDF">
        <w:rPr>
          <w:sz w:val="24"/>
        </w:rPr>
        <w:t xml:space="preserve"> </w:t>
      </w:r>
      <w:r w:rsidR="00B2282E" w:rsidRPr="00F87BDF">
        <w:rPr>
          <w:sz w:val="24"/>
        </w:rPr>
        <w:t>11.E. for specific requirements.</w:t>
      </w:r>
    </w:p>
    <w:p w14:paraId="04A674E3" w14:textId="1AD6DFB2" w:rsidR="00C56C6A" w:rsidRDefault="005F1225" w:rsidP="00F87BDF">
      <w:pPr>
        <w:pStyle w:val="ListParagraph"/>
        <w:numPr>
          <w:ilvl w:val="0"/>
          <w:numId w:val="1"/>
        </w:numPr>
        <w:tabs>
          <w:tab w:val="left" w:pos="1420"/>
        </w:tabs>
        <w:ind w:right="1326"/>
        <w:rPr>
          <w:sz w:val="24"/>
        </w:rPr>
      </w:pPr>
      <w:r w:rsidRPr="00F77596">
        <w:rPr>
          <w:sz w:val="24"/>
        </w:rPr>
        <w:t xml:space="preserve">Do not follow audit findings with “No Response Required” </w:t>
      </w:r>
      <w:r w:rsidR="00F77596" w:rsidRPr="00F77596">
        <w:rPr>
          <w:sz w:val="24"/>
        </w:rPr>
        <w:t xml:space="preserve">or “No Corrective Action Necessary.”  </w:t>
      </w:r>
      <w:r w:rsidRPr="00F77596">
        <w:rPr>
          <w:sz w:val="24"/>
        </w:rPr>
        <w:t xml:space="preserve">Responses are required for all findings. </w:t>
      </w:r>
      <w:r w:rsidR="00F77596">
        <w:rPr>
          <w:sz w:val="24"/>
        </w:rPr>
        <w:t>Corrective action must be addressed for all findings</w:t>
      </w:r>
      <w:r w:rsidR="00594A06">
        <w:rPr>
          <w:sz w:val="24"/>
        </w:rPr>
        <w:t xml:space="preserve">.  </w:t>
      </w:r>
      <w:r w:rsidR="00594A06" w:rsidRPr="00F87BDF">
        <w:rPr>
          <w:sz w:val="24"/>
        </w:rPr>
        <w:t>See the Standard Audit Contract ¶ 11.</w:t>
      </w:r>
      <w:r w:rsidR="00594A06">
        <w:rPr>
          <w:sz w:val="24"/>
        </w:rPr>
        <w:t>F</w:t>
      </w:r>
      <w:r w:rsidR="00594A06" w:rsidRPr="00F87BDF">
        <w:rPr>
          <w:sz w:val="24"/>
        </w:rPr>
        <w:t>. for specific requirements</w:t>
      </w:r>
      <w:r w:rsidR="009A5156">
        <w:rPr>
          <w:sz w:val="24"/>
        </w:rPr>
        <w:t>.</w:t>
      </w:r>
    </w:p>
    <w:p w14:paraId="399AB85B" w14:textId="3EA4DDF7" w:rsidR="005307BF" w:rsidRDefault="00C56C6A" w:rsidP="00C56C6A">
      <w:pPr>
        <w:pStyle w:val="ListParagraph"/>
        <w:numPr>
          <w:ilvl w:val="1"/>
          <w:numId w:val="1"/>
        </w:numPr>
        <w:tabs>
          <w:tab w:val="left" w:pos="1420"/>
        </w:tabs>
        <w:ind w:right="1326"/>
        <w:rPr>
          <w:sz w:val="24"/>
        </w:rPr>
      </w:pPr>
      <w:proofErr w:type="gramStart"/>
      <w:r>
        <w:rPr>
          <w:sz w:val="24"/>
        </w:rPr>
        <w:t>Subsequent to</w:t>
      </w:r>
      <w:proofErr w:type="gramEnd"/>
      <w:r>
        <w:rPr>
          <w:sz w:val="24"/>
        </w:rPr>
        <w:t xml:space="preserve"> audit report issuance, if you receive additional information from the client or LGS about corrective action </w:t>
      </w:r>
      <w:r w:rsidR="00A47C59">
        <w:rPr>
          <w:sz w:val="24"/>
        </w:rPr>
        <w:t xml:space="preserve">planned or </w:t>
      </w:r>
      <w:r>
        <w:rPr>
          <w:sz w:val="24"/>
        </w:rPr>
        <w:t xml:space="preserve">taken, please consider this information </w:t>
      </w:r>
      <w:r w:rsidRPr="00AA2090">
        <w:rPr>
          <w:sz w:val="24"/>
        </w:rPr>
        <w:t xml:space="preserve">for the next year’s </w:t>
      </w:r>
      <w:r w:rsidR="00594A06">
        <w:rPr>
          <w:sz w:val="24"/>
        </w:rPr>
        <w:t xml:space="preserve">report of prior year findings.  </w:t>
      </w:r>
      <w:r w:rsidR="00F77596" w:rsidRPr="00AA2090">
        <w:rPr>
          <w:sz w:val="24"/>
        </w:rPr>
        <w:t xml:space="preserve">  </w:t>
      </w:r>
    </w:p>
    <w:p w14:paraId="55E410FD" w14:textId="33E95E64" w:rsidR="00594A06" w:rsidRPr="00AA2090" w:rsidRDefault="00594A06" w:rsidP="00C56C6A">
      <w:pPr>
        <w:pStyle w:val="ListParagraph"/>
        <w:numPr>
          <w:ilvl w:val="1"/>
          <w:numId w:val="1"/>
        </w:numPr>
        <w:tabs>
          <w:tab w:val="left" w:pos="1420"/>
        </w:tabs>
        <w:ind w:right="1326"/>
        <w:rPr>
          <w:sz w:val="24"/>
        </w:rPr>
      </w:pPr>
      <w:r>
        <w:rPr>
          <w:sz w:val="24"/>
        </w:rPr>
        <w:t xml:space="preserve">If corrective action differs significantly </w:t>
      </w:r>
      <w:r w:rsidR="00F45769">
        <w:rPr>
          <w:sz w:val="24"/>
        </w:rPr>
        <w:t xml:space="preserve">from the prior year’s audit or financial review, adequate explanation </w:t>
      </w:r>
      <w:r w:rsidR="009A5156">
        <w:rPr>
          <w:sz w:val="24"/>
        </w:rPr>
        <w:t xml:space="preserve">should </w:t>
      </w:r>
      <w:r w:rsidR="00F45769">
        <w:rPr>
          <w:sz w:val="24"/>
        </w:rPr>
        <w:t>be provided as specified in 2CFR 200.511(b)(2).</w:t>
      </w:r>
    </w:p>
    <w:p w14:paraId="0273F05F" w14:textId="3118F2FD" w:rsidR="00F87BDF" w:rsidRPr="00AA2090" w:rsidRDefault="001D375C" w:rsidP="00F87BDF">
      <w:pPr>
        <w:pStyle w:val="ListParagraph"/>
        <w:numPr>
          <w:ilvl w:val="0"/>
          <w:numId w:val="1"/>
        </w:numPr>
        <w:tabs>
          <w:tab w:val="left" w:pos="1420"/>
        </w:tabs>
        <w:ind w:right="1326"/>
        <w:rPr>
          <w:sz w:val="24"/>
        </w:rPr>
      </w:pPr>
      <w:r w:rsidRPr="00AA2090">
        <w:rPr>
          <w:sz w:val="24"/>
        </w:rPr>
        <w:t>If</w:t>
      </w:r>
      <w:r w:rsidR="00AA2090" w:rsidRPr="00AA2090">
        <w:rPr>
          <w:sz w:val="24"/>
        </w:rPr>
        <w:t xml:space="preserve"> your client has implemented GASBS 73 and reports a related FDRA liability, remember to </w:t>
      </w:r>
      <w:r w:rsidR="00E2194A">
        <w:rPr>
          <w:sz w:val="24"/>
        </w:rPr>
        <w:t>reclassify</w:t>
      </w:r>
      <w:r w:rsidR="00AA2090" w:rsidRPr="00AA2090">
        <w:rPr>
          <w:sz w:val="24"/>
        </w:rPr>
        <w:t xml:space="preserve"> the corresponding cash from the agency fund holding the FDRA cash to the governmental funds for reporting</w:t>
      </w:r>
      <w:r w:rsidR="00F45769">
        <w:rPr>
          <w:sz w:val="24"/>
        </w:rPr>
        <w:t xml:space="preserve"> as specified in </w:t>
      </w:r>
      <w:r w:rsidR="00E2194A">
        <w:rPr>
          <w:sz w:val="24"/>
        </w:rPr>
        <w:t>GASB C</w:t>
      </w:r>
      <w:r w:rsidR="00F45769">
        <w:rPr>
          <w:sz w:val="24"/>
        </w:rPr>
        <w:t xml:space="preserve">odification </w:t>
      </w:r>
      <w:r w:rsidR="00A20FBC" w:rsidRPr="00A20FBC">
        <w:rPr>
          <w:sz w:val="24"/>
        </w:rPr>
        <w:t>§</w:t>
      </w:r>
      <w:r w:rsidR="00E2194A">
        <w:rPr>
          <w:sz w:val="24"/>
        </w:rPr>
        <w:t>P</w:t>
      </w:r>
      <w:r w:rsidR="00A20FBC">
        <w:rPr>
          <w:sz w:val="24"/>
        </w:rPr>
        <w:t>23.105.</w:t>
      </w:r>
    </w:p>
    <w:p w14:paraId="3DDF7657" w14:textId="0357E711" w:rsidR="00AA2090" w:rsidRPr="00AA2090" w:rsidRDefault="00AA2090" w:rsidP="00F87BDF">
      <w:pPr>
        <w:pStyle w:val="ListParagraph"/>
        <w:numPr>
          <w:ilvl w:val="0"/>
          <w:numId w:val="1"/>
        </w:numPr>
        <w:tabs>
          <w:tab w:val="left" w:pos="1420"/>
        </w:tabs>
        <w:ind w:right="1326"/>
        <w:rPr>
          <w:sz w:val="24"/>
        </w:rPr>
      </w:pPr>
      <w:r w:rsidRPr="00AA2090">
        <w:rPr>
          <w:sz w:val="24"/>
        </w:rPr>
        <w:t>Remember GASBS 75 (accounting and reporting for OPEB plans) is effective for fiscal years beginning after June 15, 2017</w:t>
      </w:r>
      <w:r w:rsidR="00E2194A">
        <w:rPr>
          <w:sz w:val="24"/>
        </w:rPr>
        <w:t xml:space="preserve">; i.e. for </w:t>
      </w:r>
      <w:r w:rsidRPr="00AA2090">
        <w:rPr>
          <w:sz w:val="24"/>
        </w:rPr>
        <w:t>fiscal year ending June 30, 2018.</w:t>
      </w:r>
    </w:p>
    <w:p w14:paraId="0BB160CA" w14:textId="77777777" w:rsidR="005307BF" w:rsidRPr="00AA2090" w:rsidRDefault="005F1225">
      <w:pPr>
        <w:pStyle w:val="ListParagraph"/>
        <w:numPr>
          <w:ilvl w:val="0"/>
          <w:numId w:val="1"/>
        </w:numPr>
        <w:tabs>
          <w:tab w:val="left" w:pos="1420"/>
        </w:tabs>
        <w:ind w:right="2134"/>
        <w:rPr>
          <w:sz w:val="24"/>
        </w:rPr>
      </w:pPr>
      <w:r w:rsidRPr="00AA2090">
        <w:rPr>
          <w:sz w:val="24"/>
        </w:rPr>
        <w:t>When submitting electronic documents to us, please submit them in an</w:t>
      </w:r>
      <w:r w:rsidRPr="00AA2090">
        <w:rPr>
          <w:spacing w:val="-15"/>
          <w:sz w:val="24"/>
        </w:rPr>
        <w:t xml:space="preserve"> </w:t>
      </w:r>
      <w:r w:rsidRPr="00AA2090">
        <w:rPr>
          <w:sz w:val="24"/>
        </w:rPr>
        <w:t>unsecured, unencrypted, text-searchable</w:t>
      </w:r>
      <w:r w:rsidRPr="00AA2090">
        <w:rPr>
          <w:spacing w:val="-2"/>
          <w:sz w:val="24"/>
        </w:rPr>
        <w:t xml:space="preserve"> </w:t>
      </w:r>
      <w:r w:rsidRPr="00AA2090">
        <w:rPr>
          <w:sz w:val="24"/>
        </w:rPr>
        <w:t>format.</w:t>
      </w:r>
    </w:p>
    <w:p w14:paraId="2EDACEE5" w14:textId="77777777" w:rsidR="005307BF" w:rsidRPr="00AA2090" w:rsidRDefault="005307BF">
      <w:pPr>
        <w:pStyle w:val="BodyText"/>
        <w:rPr>
          <w:sz w:val="26"/>
        </w:rPr>
      </w:pPr>
    </w:p>
    <w:p w14:paraId="1B3FF2CC" w14:textId="77777777" w:rsidR="005307BF" w:rsidRDefault="005F1225">
      <w:pPr>
        <w:pStyle w:val="BodyText"/>
        <w:spacing w:before="160"/>
        <w:ind w:left="1059"/>
      </w:pPr>
      <w:r w:rsidRPr="00AA2090">
        <w:t>Thank you,</w:t>
      </w:r>
    </w:p>
    <w:p w14:paraId="6CD68A3A" w14:textId="77777777" w:rsidR="00F45769" w:rsidRDefault="00F45769">
      <w:pPr>
        <w:pStyle w:val="BodyText"/>
        <w:ind w:left="1059"/>
      </w:pPr>
    </w:p>
    <w:p w14:paraId="262FFA4F" w14:textId="47E9BBCD" w:rsidR="005307BF" w:rsidRDefault="005F1225">
      <w:pPr>
        <w:pStyle w:val="BodyText"/>
        <w:ind w:left="1059"/>
      </w:pPr>
      <w:r>
        <w:t>Local Government Services</w:t>
      </w:r>
    </w:p>
    <w:p w14:paraId="79173372" w14:textId="77777777" w:rsidR="005307BF" w:rsidRDefault="005307BF">
      <w:pPr>
        <w:pStyle w:val="BodyText"/>
        <w:rPr>
          <w:sz w:val="20"/>
        </w:rPr>
      </w:pPr>
    </w:p>
    <w:p w14:paraId="0A1D8252" w14:textId="77777777" w:rsidR="005307BF" w:rsidRDefault="005307BF">
      <w:pPr>
        <w:pStyle w:val="BodyText"/>
        <w:spacing w:before="8"/>
        <w:rPr>
          <w:sz w:val="18"/>
        </w:rPr>
      </w:pPr>
    </w:p>
    <w:p w14:paraId="291D3877" w14:textId="4DEA59CD" w:rsidR="005307BF" w:rsidRDefault="005F1225">
      <w:pPr>
        <w:tabs>
          <w:tab w:val="left" w:pos="4143"/>
          <w:tab w:val="left" w:pos="7743"/>
        </w:tabs>
        <w:spacing w:before="1"/>
        <w:ind w:left="544"/>
        <w:rPr>
          <w:rFonts w:ascii="Calibri"/>
          <w:sz w:val="18"/>
        </w:rPr>
      </w:pPr>
      <w:r>
        <w:rPr>
          <w:noProof/>
        </w:rPr>
        <mc:AlternateContent>
          <mc:Choice Requires="wpg">
            <w:drawing>
              <wp:anchor distT="0" distB="0" distL="0" distR="0" simplePos="0" relativeHeight="251658240" behindDoc="1" locked="0" layoutInCell="1" allowOverlap="1" wp14:anchorId="46F83F1E" wp14:editId="0C204B03">
                <wp:simplePos x="0" y="0"/>
                <wp:positionH relativeFrom="page">
                  <wp:posOffset>466090</wp:posOffset>
                </wp:positionH>
                <wp:positionV relativeFrom="paragraph">
                  <wp:posOffset>213995</wp:posOffset>
                </wp:positionV>
                <wp:extent cx="6972300" cy="103505"/>
                <wp:effectExtent l="18415" t="8255" r="10160" b="254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103505"/>
                          <a:chOff x="734" y="337"/>
                          <a:chExt cx="10980" cy="163"/>
                        </a:xfrm>
                      </wpg:grpSpPr>
                      <wps:wsp>
                        <wps:cNvPr id="3" name="Line 5"/>
                        <wps:cNvCnPr>
                          <a:cxnSpLocks noChangeShapeType="1"/>
                        </wps:cNvCnPr>
                        <wps:spPr bwMode="auto">
                          <a:xfrm>
                            <a:off x="744" y="382"/>
                            <a:ext cx="10944" cy="0"/>
                          </a:xfrm>
                          <a:prstGeom prst="line">
                            <a:avLst/>
                          </a:prstGeom>
                          <a:noFill/>
                          <a:ln w="45085">
                            <a:solidFill>
                              <a:srgbClr val="A6A6A6"/>
                            </a:solidFill>
                            <a:prstDash val="solid"/>
                            <a:round/>
                            <a:headEnd/>
                            <a:tailEnd/>
                          </a:ln>
                          <a:extLst>
                            <a:ext uri="{909E8E84-426E-40DD-AFC4-6F175D3DCCD1}">
                              <a14:hiddenFill xmlns:a14="http://schemas.microsoft.com/office/drawing/2010/main">
                                <a:noFill/>
                              </a14:hiddenFill>
                            </a:ext>
                          </a:extLst>
                        </wps:spPr>
                        <wps:bodyPr/>
                      </wps:wsp>
                      <wps:wsp>
                        <wps:cNvPr id="4" name="Rectangle 4"/>
                        <wps:cNvSpPr>
                          <a:spLocks noChangeArrowheads="1"/>
                        </wps:cNvSpPr>
                        <wps:spPr bwMode="auto">
                          <a:xfrm>
                            <a:off x="744" y="346"/>
                            <a:ext cx="10944" cy="71"/>
                          </a:xfrm>
                          <a:prstGeom prst="rect">
                            <a:avLst/>
                          </a:prstGeom>
                          <a:noFill/>
                          <a:ln w="12700">
                            <a:solidFill>
                              <a:srgbClr val="79797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3"/>
                        <wps:cNvCnPr>
                          <a:cxnSpLocks noChangeShapeType="1"/>
                        </wps:cNvCnPr>
                        <wps:spPr bwMode="auto">
                          <a:xfrm>
                            <a:off x="737" y="485"/>
                            <a:ext cx="10977" cy="0"/>
                          </a:xfrm>
                          <a:prstGeom prst="line">
                            <a:avLst/>
                          </a:prstGeom>
                          <a:noFill/>
                          <a:ln w="19050">
                            <a:solidFill>
                              <a:srgbClr val="0066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15CD6B" id="Group 2" o:spid="_x0000_s1026" style="position:absolute;margin-left:36.7pt;margin-top:16.85pt;width:549pt;height:8.15pt;z-index:-251658240;mso-wrap-distance-left:0;mso-wrap-distance-right:0;mso-position-horizontal-relative:page" coordorigin="734,337" coordsize="1098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">
                <v:line id="Line 5" o:spid="_x0000_s1027" style="position:absolute;visibility:visible;mso-wrap-style:square" from="744,382" to="1168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" strokecolor="#a6a6a6" strokeweight="3.55pt"/>
                <v:rect id="Rectangle 4" o:spid="_x0000_s1028" style="position:absolute;left:744;top:346;width:10944;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" filled="f" strokecolor="#797979" strokeweight="1pt"/>
                <v:line id="Line 3" o:spid="_x0000_s1029" style="position:absolute;visibility:visible;mso-wrap-style:square" from="737,485" to="11714,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" strokecolor="#069" strokeweight="1.5pt"/>
                <w10:wrap type="topAndBottom" anchorx="page"/>
              </v:group>
            </w:pict>
          </mc:Fallback>
        </mc:AlternateContent>
      </w:r>
      <w:r>
        <w:rPr>
          <w:rFonts w:ascii="Calibri"/>
          <w:b/>
          <w:color w:val="336699"/>
          <w:sz w:val="18"/>
        </w:rPr>
        <w:t>PHONE:</w:t>
      </w:r>
      <w:r>
        <w:rPr>
          <w:rFonts w:ascii="Calibri"/>
          <w:b/>
          <w:color w:val="336699"/>
          <w:spacing w:val="39"/>
          <w:sz w:val="18"/>
        </w:rPr>
        <w:t xml:space="preserve"> </w:t>
      </w:r>
      <w:r>
        <w:rPr>
          <w:rFonts w:ascii="Calibri"/>
          <w:sz w:val="18"/>
        </w:rPr>
        <w:t>406-444-9101</w:t>
      </w:r>
      <w:r>
        <w:rPr>
          <w:rFonts w:ascii="Calibri"/>
          <w:sz w:val="18"/>
        </w:rPr>
        <w:tab/>
      </w:r>
      <w:r>
        <w:rPr>
          <w:rFonts w:ascii="Calibri"/>
          <w:b/>
          <w:color w:val="336699"/>
          <w:sz w:val="18"/>
        </w:rPr>
        <w:t>WEBSITE:</w:t>
      </w:r>
      <w:r>
        <w:rPr>
          <w:rFonts w:ascii="Calibri"/>
          <w:b/>
          <w:color w:val="336699"/>
          <w:spacing w:val="36"/>
          <w:sz w:val="18"/>
        </w:rPr>
        <w:t xml:space="preserve"> </w:t>
      </w:r>
      <w:hyperlink r:id="rId7">
        <w:r>
          <w:rPr>
            <w:rFonts w:ascii="Calibri"/>
            <w:color w:val="0563C1"/>
            <w:sz w:val="18"/>
            <w:u w:val="single" w:color="0563C1"/>
          </w:rPr>
          <w:t>http://sfsd.mt.gov/LGSB</w:t>
        </w:r>
      </w:hyperlink>
      <w:r>
        <w:rPr>
          <w:rFonts w:ascii="Calibri"/>
          <w:color w:val="0563C1"/>
          <w:sz w:val="18"/>
        </w:rPr>
        <w:tab/>
      </w:r>
      <w:r>
        <w:rPr>
          <w:rFonts w:ascii="Calibri"/>
          <w:b/>
          <w:color w:val="336699"/>
          <w:sz w:val="18"/>
        </w:rPr>
        <w:t>EMAIL:</w:t>
      </w:r>
      <w:r>
        <w:rPr>
          <w:rFonts w:ascii="Calibri"/>
          <w:b/>
          <w:color w:val="336699"/>
          <w:spacing w:val="38"/>
          <w:sz w:val="18"/>
        </w:rPr>
        <w:t xml:space="preserve"> </w:t>
      </w:r>
      <w:hyperlink r:id="rId8">
        <w:r>
          <w:rPr>
            <w:rFonts w:ascii="Calibri"/>
            <w:color w:val="0563C1"/>
            <w:sz w:val="18"/>
            <w:u w:val="single" w:color="0563C1"/>
          </w:rPr>
          <w:t>LGSPortalRegistration@mt.gov</w:t>
        </w:r>
      </w:hyperlink>
    </w:p>
    <w:sectPr w:rsidR="005307BF">
      <w:type w:val="continuous"/>
      <w:pgSz w:w="12240" w:h="15840"/>
      <w:pgMar w:top="340" w:right="420" w:bottom="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63FC8"/>
    <w:multiLevelType w:val="hybridMultilevel"/>
    <w:tmpl w:val="3B7A0282"/>
    <w:lvl w:ilvl="0" w:tplc="7466FF02">
      <w:numFmt w:val="bullet"/>
      <w:lvlText w:val=""/>
      <w:lvlJc w:val="left"/>
      <w:pPr>
        <w:ind w:left="1420" w:hanging="360"/>
      </w:pPr>
      <w:rPr>
        <w:rFonts w:ascii="Wingdings" w:eastAsia="Wingdings" w:hAnsi="Wingdings" w:cs="Wingdings" w:hint="default"/>
        <w:w w:val="100"/>
        <w:sz w:val="24"/>
        <w:szCs w:val="24"/>
        <w:lang w:val="en-US" w:eastAsia="en-US" w:bidi="en-US"/>
      </w:rPr>
    </w:lvl>
    <w:lvl w:ilvl="1" w:tplc="9C0AD29C">
      <w:numFmt w:val="bullet"/>
      <w:lvlText w:val="•"/>
      <w:lvlJc w:val="left"/>
      <w:pPr>
        <w:ind w:left="2422" w:hanging="360"/>
      </w:pPr>
      <w:rPr>
        <w:rFonts w:hint="default"/>
        <w:lang w:val="en-US" w:eastAsia="en-US" w:bidi="en-US"/>
      </w:rPr>
    </w:lvl>
    <w:lvl w:ilvl="2" w:tplc="56D227FE">
      <w:numFmt w:val="bullet"/>
      <w:lvlText w:val="•"/>
      <w:lvlJc w:val="left"/>
      <w:pPr>
        <w:ind w:left="3424" w:hanging="360"/>
      </w:pPr>
      <w:rPr>
        <w:rFonts w:hint="default"/>
        <w:lang w:val="en-US" w:eastAsia="en-US" w:bidi="en-US"/>
      </w:rPr>
    </w:lvl>
    <w:lvl w:ilvl="3" w:tplc="C65C2D68">
      <w:numFmt w:val="bullet"/>
      <w:lvlText w:val="•"/>
      <w:lvlJc w:val="left"/>
      <w:pPr>
        <w:ind w:left="4426" w:hanging="360"/>
      </w:pPr>
      <w:rPr>
        <w:rFonts w:hint="default"/>
        <w:lang w:val="en-US" w:eastAsia="en-US" w:bidi="en-US"/>
      </w:rPr>
    </w:lvl>
    <w:lvl w:ilvl="4" w:tplc="7EEC89AE">
      <w:numFmt w:val="bullet"/>
      <w:lvlText w:val="•"/>
      <w:lvlJc w:val="left"/>
      <w:pPr>
        <w:ind w:left="5428" w:hanging="360"/>
      </w:pPr>
      <w:rPr>
        <w:rFonts w:hint="default"/>
        <w:lang w:val="en-US" w:eastAsia="en-US" w:bidi="en-US"/>
      </w:rPr>
    </w:lvl>
    <w:lvl w:ilvl="5" w:tplc="39B2DC28">
      <w:numFmt w:val="bullet"/>
      <w:lvlText w:val="•"/>
      <w:lvlJc w:val="left"/>
      <w:pPr>
        <w:ind w:left="6430" w:hanging="360"/>
      </w:pPr>
      <w:rPr>
        <w:rFonts w:hint="default"/>
        <w:lang w:val="en-US" w:eastAsia="en-US" w:bidi="en-US"/>
      </w:rPr>
    </w:lvl>
    <w:lvl w:ilvl="6" w:tplc="9380FEAC">
      <w:numFmt w:val="bullet"/>
      <w:lvlText w:val="•"/>
      <w:lvlJc w:val="left"/>
      <w:pPr>
        <w:ind w:left="7432" w:hanging="360"/>
      </w:pPr>
      <w:rPr>
        <w:rFonts w:hint="default"/>
        <w:lang w:val="en-US" w:eastAsia="en-US" w:bidi="en-US"/>
      </w:rPr>
    </w:lvl>
    <w:lvl w:ilvl="7" w:tplc="CB2A9D1C">
      <w:numFmt w:val="bullet"/>
      <w:lvlText w:val="•"/>
      <w:lvlJc w:val="left"/>
      <w:pPr>
        <w:ind w:left="8434" w:hanging="360"/>
      </w:pPr>
      <w:rPr>
        <w:rFonts w:hint="default"/>
        <w:lang w:val="en-US" w:eastAsia="en-US" w:bidi="en-US"/>
      </w:rPr>
    </w:lvl>
    <w:lvl w:ilvl="8" w:tplc="AEC8C1CA">
      <w:numFmt w:val="bullet"/>
      <w:lvlText w:val="•"/>
      <w:lvlJc w:val="left"/>
      <w:pPr>
        <w:ind w:left="9436"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BF"/>
    <w:rsid w:val="000C53C1"/>
    <w:rsid w:val="001524C3"/>
    <w:rsid w:val="001D375C"/>
    <w:rsid w:val="00416678"/>
    <w:rsid w:val="004567A2"/>
    <w:rsid w:val="005307BF"/>
    <w:rsid w:val="00551427"/>
    <w:rsid w:val="00594A06"/>
    <w:rsid w:val="005F1225"/>
    <w:rsid w:val="006425CA"/>
    <w:rsid w:val="0064782F"/>
    <w:rsid w:val="007758EC"/>
    <w:rsid w:val="00843B5C"/>
    <w:rsid w:val="009A5156"/>
    <w:rsid w:val="00A20FBC"/>
    <w:rsid w:val="00A47C59"/>
    <w:rsid w:val="00AA2090"/>
    <w:rsid w:val="00B2282E"/>
    <w:rsid w:val="00C56C6A"/>
    <w:rsid w:val="00D80384"/>
    <w:rsid w:val="00E2194A"/>
    <w:rsid w:val="00EA5B65"/>
    <w:rsid w:val="00F161EE"/>
    <w:rsid w:val="00F45769"/>
    <w:rsid w:val="00F53400"/>
    <w:rsid w:val="00F77596"/>
    <w:rsid w:val="00F87BDF"/>
    <w:rsid w:val="00FE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B05D"/>
  <w15:docId w15:val="{9D90DE88-97FB-4238-A657-48399D2E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20" w:right="105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567A2"/>
    <w:rPr>
      <w:color w:val="0000FF" w:themeColor="hyperlink"/>
      <w:u w:val="single"/>
    </w:rPr>
  </w:style>
  <w:style w:type="character" w:styleId="UnresolvedMention">
    <w:name w:val="Unresolved Mention"/>
    <w:basedOn w:val="DefaultParagraphFont"/>
    <w:uiPriority w:val="99"/>
    <w:semiHidden/>
    <w:unhideWhenUsed/>
    <w:rsid w:val="004567A2"/>
    <w:rPr>
      <w:color w:val="605E5C"/>
      <w:shd w:val="clear" w:color="auto" w:fill="E1DFDD"/>
    </w:rPr>
  </w:style>
  <w:style w:type="character" w:styleId="FollowedHyperlink">
    <w:name w:val="FollowedHyperlink"/>
    <w:basedOn w:val="DefaultParagraphFont"/>
    <w:uiPriority w:val="99"/>
    <w:semiHidden/>
    <w:unhideWhenUsed/>
    <w:rsid w:val="004567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LGSPortalRegistration@mt.gov" TargetMode="External"/><Relationship Id="rId3" Type="http://schemas.openxmlformats.org/officeDocument/2006/relationships/settings" Target="settings.xml"/><Relationship Id="rId7" Type="http://schemas.openxmlformats.org/officeDocument/2006/relationships/hyperlink" Target="http://sfsd.mt.gov/LGS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sd.mt.gov/LGSB/Audit-Financial-Review-Resources/8_ReviewChecklis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2262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Keaster, Miranda</dc:creator>
  <cp:lastModifiedBy>Riitano, Beth</cp:lastModifiedBy>
  <cp:revision>2</cp:revision>
  <dcterms:created xsi:type="dcterms:W3CDTF">2018-11-14T19:52:00Z</dcterms:created>
  <dcterms:modified xsi:type="dcterms:W3CDTF">2018-11-14T19:52:00Z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2018-07-23T00:00:00Z</vt:filetime>
  </property>
  <property fmtid="{D5CDD505-2E9C-101B-9397-08002B2CF9AE}" pid="3" name="Creator">
    <vt:lpwstr>Acrobat PDFMaker 18 for Word</vt:lpwstr>
  </property>
  <property fmtid="{D5CDD505-2E9C-101B-9397-08002B2CF9AE}" pid="4" name="LastSaved">
    <vt:filetime>2018-11-07T00:00:00Z</vt:filetime>
  </property>
</Properties>
</file>