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C2556" w14:textId="77777777" w:rsidR="00A60D03" w:rsidRDefault="00A60D03" w:rsidP="00A60D03">
      <w:pPr>
        <w:pStyle w:val="Heading1"/>
      </w:pPr>
      <w:r>
        <w:t>SABHRS FYE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2299"/>
        <w:gridCol w:w="5536"/>
      </w:tblGrid>
      <w:tr w:rsidR="00F97CB9" w14:paraId="78B3D2E4" w14:textId="77777777" w:rsidTr="00864619">
        <w:trPr>
          <w:trHeight w:val="260"/>
        </w:trPr>
        <w:tc>
          <w:tcPr>
            <w:tcW w:w="1515" w:type="dxa"/>
            <w:shd w:val="clear" w:color="auto" w:fill="BFBFBF" w:themeFill="background1" w:themeFillShade="BF"/>
          </w:tcPr>
          <w:p w14:paraId="41E10DDD" w14:textId="77777777" w:rsidR="00A60D03" w:rsidRPr="00F97CB9" w:rsidRDefault="00456211" w:rsidP="004B4D72">
            <w:pPr>
              <w:rPr>
                <w:b/>
                <w:sz w:val="28"/>
                <w:szCs w:val="28"/>
              </w:rPr>
            </w:pPr>
            <w:r w:rsidRPr="00456211">
              <w:rPr>
                <w:b/>
              </w:rPr>
              <w:t>Date</w:t>
            </w:r>
          </w:p>
        </w:tc>
        <w:tc>
          <w:tcPr>
            <w:tcW w:w="2299" w:type="dxa"/>
            <w:shd w:val="clear" w:color="auto" w:fill="BFBFBF" w:themeFill="background1" w:themeFillShade="BF"/>
          </w:tcPr>
          <w:p w14:paraId="71DDA4E8" w14:textId="77777777" w:rsidR="00F97CB9" w:rsidRPr="00F97CB9" w:rsidRDefault="00F97CB9" w:rsidP="004B4D72">
            <w:pPr>
              <w:rPr>
                <w:color w:val="A6A6A6" w:themeColor="background1" w:themeShade="A6"/>
              </w:rPr>
            </w:pPr>
            <w:r w:rsidRPr="004B4D72">
              <w:rPr>
                <w:b/>
              </w:rPr>
              <w:t>Responsible</w:t>
            </w:r>
            <w:r w:rsidRPr="00F97CB9">
              <w:rPr>
                <w:b/>
                <w:sz w:val="28"/>
                <w:szCs w:val="28"/>
              </w:rPr>
              <w:t xml:space="preserve"> </w:t>
            </w:r>
            <w:r w:rsidRPr="004B4D72">
              <w:rPr>
                <w:b/>
              </w:rPr>
              <w:t>Party</w:t>
            </w:r>
          </w:p>
        </w:tc>
        <w:tc>
          <w:tcPr>
            <w:tcW w:w="5536" w:type="dxa"/>
            <w:shd w:val="clear" w:color="auto" w:fill="BFBFBF" w:themeFill="background1" w:themeFillShade="BF"/>
          </w:tcPr>
          <w:p w14:paraId="5F0C5F60" w14:textId="77777777" w:rsidR="00F97CB9" w:rsidRPr="00F97CB9" w:rsidRDefault="00F97CB9" w:rsidP="004B4D72">
            <w:pPr>
              <w:rPr>
                <w:color w:val="A6A6A6" w:themeColor="background1" w:themeShade="A6"/>
              </w:rPr>
            </w:pPr>
            <w:r w:rsidRPr="004B4D72">
              <w:rPr>
                <w:b/>
              </w:rPr>
              <w:t>Activity</w:t>
            </w:r>
          </w:p>
        </w:tc>
      </w:tr>
      <w:tr w:rsidR="00F97CB9" w:rsidRPr="00A744B8" w14:paraId="74FAA657" w14:textId="77777777" w:rsidTr="00864619">
        <w:tc>
          <w:tcPr>
            <w:tcW w:w="1515" w:type="dxa"/>
          </w:tcPr>
          <w:p w14:paraId="25AE800C" w14:textId="6DA35FAE" w:rsidR="00F97CB9" w:rsidRPr="00A744B8" w:rsidRDefault="00864619">
            <w:r w:rsidRPr="00A744B8">
              <w:t>June 2</w:t>
            </w:r>
            <w:r w:rsidR="00C72296">
              <w:t>9</w:t>
            </w:r>
          </w:p>
        </w:tc>
        <w:tc>
          <w:tcPr>
            <w:tcW w:w="2299" w:type="dxa"/>
          </w:tcPr>
          <w:p w14:paraId="327312B8" w14:textId="77777777" w:rsidR="00F97CB9" w:rsidRPr="00A744B8" w:rsidRDefault="00F97CB9">
            <w:r w:rsidRPr="00A744B8">
              <w:t>Agency</w:t>
            </w:r>
          </w:p>
        </w:tc>
        <w:tc>
          <w:tcPr>
            <w:tcW w:w="5536" w:type="dxa"/>
          </w:tcPr>
          <w:p w14:paraId="03A1E5D4" w14:textId="7F527067" w:rsidR="00F97CB9" w:rsidRPr="00A744B8" w:rsidRDefault="00F97CB9" w:rsidP="006960AE">
            <w:r w:rsidRPr="00A744B8">
              <w:t>Last day to submit</w:t>
            </w:r>
            <w:r w:rsidR="006960AE" w:rsidRPr="00A744B8">
              <w:t xml:space="preserve"> w</w:t>
            </w:r>
            <w:r w:rsidR="00864619" w:rsidRPr="00A744B8">
              <w:t xml:space="preserve">arrant </w:t>
            </w:r>
            <w:r w:rsidR="006960AE" w:rsidRPr="00A744B8">
              <w:t>c</w:t>
            </w:r>
            <w:r w:rsidR="00F7750D" w:rsidRPr="00A744B8">
              <w:t>ancellations for FY</w:t>
            </w:r>
            <w:r w:rsidR="00C72296">
              <w:t>2</w:t>
            </w:r>
            <w:r w:rsidR="003C5985">
              <w:t>1</w:t>
            </w:r>
            <w:r w:rsidRPr="00A744B8">
              <w:t xml:space="preserve"> vouchers</w:t>
            </w:r>
          </w:p>
        </w:tc>
      </w:tr>
      <w:tr w:rsidR="00F97CB9" w:rsidRPr="00A744B8" w14:paraId="0EC06C96" w14:textId="77777777" w:rsidTr="00864619">
        <w:tc>
          <w:tcPr>
            <w:tcW w:w="1515" w:type="dxa"/>
          </w:tcPr>
          <w:p w14:paraId="4ECC5DE0" w14:textId="0EB3766A" w:rsidR="00F97CB9" w:rsidRPr="00A744B8" w:rsidRDefault="00F97CB9">
            <w:r w:rsidRPr="00A744B8">
              <w:t xml:space="preserve">June </w:t>
            </w:r>
            <w:r w:rsidR="00CD0FDA" w:rsidRPr="00A744B8">
              <w:t>2</w:t>
            </w:r>
            <w:r w:rsidR="00C72296">
              <w:t>9</w:t>
            </w:r>
          </w:p>
          <w:p w14:paraId="113A4766" w14:textId="77777777" w:rsidR="00F97CB9" w:rsidRPr="00A744B8" w:rsidRDefault="00F97CB9">
            <w:r w:rsidRPr="00A744B8">
              <w:t>@ 2:00 PM</w:t>
            </w:r>
          </w:p>
        </w:tc>
        <w:tc>
          <w:tcPr>
            <w:tcW w:w="2299" w:type="dxa"/>
          </w:tcPr>
          <w:p w14:paraId="03D1D28D" w14:textId="77777777" w:rsidR="00F97CB9" w:rsidRPr="00A744B8" w:rsidRDefault="00F97CB9">
            <w:r w:rsidRPr="00A744B8">
              <w:t>Agency</w:t>
            </w:r>
          </w:p>
        </w:tc>
        <w:tc>
          <w:tcPr>
            <w:tcW w:w="5536" w:type="dxa"/>
          </w:tcPr>
          <w:p w14:paraId="23870B12" w14:textId="77777777" w:rsidR="00F97CB9" w:rsidRPr="00A744B8" w:rsidRDefault="00D93D0A">
            <w:r w:rsidRPr="00A744B8">
              <w:t>Last d</w:t>
            </w:r>
            <w:r w:rsidR="00F97CB9" w:rsidRPr="00A744B8">
              <w:t>ay to sell STIP</w:t>
            </w:r>
          </w:p>
        </w:tc>
      </w:tr>
      <w:tr w:rsidR="00864619" w:rsidRPr="00A744B8" w14:paraId="34005B3C" w14:textId="77777777" w:rsidTr="00EA762B">
        <w:tc>
          <w:tcPr>
            <w:tcW w:w="1515" w:type="dxa"/>
            <w:shd w:val="clear" w:color="auto" w:fill="auto"/>
          </w:tcPr>
          <w:p w14:paraId="07126F11" w14:textId="5E5DD369" w:rsidR="00864619" w:rsidRPr="00EA762B" w:rsidRDefault="00864619">
            <w:r w:rsidRPr="00EA762B">
              <w:t xml:space="preserve">June </w:t>
            </w:r>
            <w:r w:rsidR="00C72296" w:rsidRPr="00EA762B">
              <w:t>30</w:t>
            </w:r>
          </w:p>
        </w:tc>
        <w:tc>
          <w:tcPr>
            <w:tcW w:w="2299" w:type="dxa"/>
          </w:tcPr>
          <w:p w14:paraId="693B97F8" w14:textId="77777777" w:rsidR="00864619" w:rsidRPr="00A744B8" w:rsidRDefault="00864619">
            <w:r w:rsidRPr="00A744B8">
              <w:t>Agency</w:t>
            </w:r>
          </w:p>
        </w:tc>
        <w:tc>
          <w:tcPr>
            <w:tcW w:w="5536" w:type="dxa"/>
          </w:tcPr>
          <w:p w14:paraId="2E41F929" w14:textId="77777777" w:rsidR="00864619" w:rsidRPr="00A744B8" w:rsidRDefault="002B135C" w:rsidP="002B135C">
            <w:r w:rsidRPr="00A744B8">
              <w:t>Mass c</w:t>
            </w:r>
            <w:r w:rsidR="00864619" w:rsidRPr="00A744B8">
              <w:t xml:space="preserve">hange </w:t>
            </w:r>
            <w:r w:rsidRPr="00A744B8">
              <w:t>s</w:t>
            </w:r>
            <w:r w:rsidR="00864619" w:rsidRPr="00A744B8">
              <w:t xml:space="preserve">preadsheets </w:t>
            </w:r>
            <w:r w:rsidRPr="00A744B8">
              <w:t>d</w:t>
            </w:r>
            <w:r w:rsidR="00864619" w:rsidRPr="00A744B8">
              <w:t>ue</w:t>
            </w:r>
          </w:p>
        </w:tc>
      </w:tr>
      <w:tr w:rsidR="00F97CB9" w:rsidRPr="00A744B8" w14:paraId="5AAACDF9" w14:textId="77777777" w:rsidTr="00864619">
        <w:tc>
          <w:tcPr>
            <w:tcW w:w="1515" w:type="dxa"/>
          </w:tcPr>
          <w:p w14:paraId="0CB8CF43" w14:textId="55D5049E" w:rsidR="00F97CB9" w:rsidRPr="00A744B8" w:rsidRDefault="00F97CB9">
            <w:r w:rsidRPr="00A744B8">
              <w:t xml:space="preserve">June </w:t>
            </w:r>
            <w:r w:rsidR="00C72296">
              <w:t>30</w:t>
            </w:r>
          </w:p>
          <w:p w14:paraId="28F3F53D" w14:textId="77777777" w:rsidR="00F97CB9" w:rsidRPr="00A744B8" w:rsidRDefault="00F97CB9">
            <w:r w:rsidRPr="00A744B8">
              <w:t>@ 5:00 PM</w:t>
            </w:r>
          </w:p>
        </w:tc>
        <w:tc>
          <w:tcPr>
            <w:tcW w:w="2299" w:type="dxa"/>
          </w:tcPr>
          <w:p w14:paraId="3213EBF8" w14:textId="77777777" w:rsidR="00F97CB9" w:rsidRPr="00A744B8" w:rsidRDefault="00F97CB9">
            <w:r w:rsidRPr="00A744B8">
              <w:t>Agency</w:t>
            </w:r>
          </w:p>
        </w:tc>
        <w:tc>
          <w:tcPr>
            <w:tcW w:w="5536" w:type="dxa"/>
          </w:tcPr>
          <w:p w14:paraId="41505585" w14:textId="0F4EE01A" w:rsidR="00F97CB9" w:rsidRPr="00A744B8" w:rsidRDefault="00F97CB9">
            <w:r w:rsidRPr="00A744B8">
              <w:t>Last day to deposit FY</w:t>
            </w:r>
            <w:r w:rsidR="00C72296">
              <w:t>2</w:t>
            </w:r>
            <w:r w:rsidR="003C5985">
              <w:t>1</w:t>
            </w:r>
            <w:r w:rsidRPr="00A744B8">
              <w:t xml:space="preserve"> </w:t>
            </w:r>
            <w:r w:rsidR="008644E5" w:rsidRPr="00A744B8">
              <w:t>m</w:t>
            </w:r>
            <w:r w:rsidRPr="00A744B8">
              <w:t>oney</w:t>
            </w:r>
          </w:p>
          <w:p w14:paraId="41EDB3A5" w14:textId="77777777" w:rsidR="00F97CB9" w:rsidRPr="00A744B8" w:rsidRDefault="00F97CB9" w:rsidP="00F97CB9">
            <w:pPr>
              <w:pStyle w:val="ListParagraph"/>
              <w:numPr>
                <w:ilvl w:val="0"/>
                <w:numId w:val="1"/>
              </w:numPr>
            </w:pPr>
            <w:r w:rsidRPr="00A744B8">
              <w:t>State Treasury open until 5:00</w:t>
            </w:r>
          </w:p>
          <w:p w14:paraId="5711A319" w14:textId="77777777" w:rsidR="00F97CB9" w:rsidRPr="00A744B8" w:rsidRDefault="00F97CB9" w:rsidP="00F97CB9">
            <w:pPr>
              <w:pStyle w:val="ListParagraph"/>
              <w:numPr>
                <w:ilvl w:val="0"/>
                <w:numId w:val="1"/>
              </w:numPr>
            </w:pPr>
            <w:r w:rsidRPr="00A744B8">
              <w:t>If you are depositing money with an outside bank be sure to inquire on the latest time a deposit can be made to be credited that same day</w:t>
            </w:r>
          </w:p>
        </w:tc>
      </w:tr>
      <w:tr w:rsidR="00CD0FDA" w:rsidRPr="00A744B8" w14:paraId="62AEB2ED" w14:textId="77777777" w:rsidTr="00864619">
        <w:tc>
          <w:tcPr>
            <w:tcW w:w="1515" w:type="dxa"/>
          </w:tcPr>
          <w:p w14:paraId="5ABB1247" w14:textId="7D412908" w:rsidR="00CD0FDA" w:rsidRPr="00A744B8" w:rsidRDefault="00997831">
            <w:r>
              <w:t>July 1</w:t>
            </w:r>
          </w:p>
        </w:tc>
        <w:tc>
          <w:tcPr>
            <w:tcW w:w="2299" w:type="dxa"/>
          </w:tcPr>
          <w:p w14:paraId="55B92740" w14:textId="4A7BB043" w:rsidR="00CD0FDA" w:rsidRPr="00A744B8" w:rsidRDefault="00CD0FDA">
            <w:r w:rsidRPr="00A744B8">
              <w:t>DEQ</w:t>
            </w:r>
          </w:p>
        </w:tc>
        <w:tc>
          <w:tcPr>
            <w:tcW w:w="5536" w:type="dxa"/>
          </w:tcPr>
          <w:p w14:paraId="3B23ACF3" w14:textId="2EAAB7B2" w:rsidR="00CD0FDA" w:rsidRPr="00A744B8" w:rsidRDefault="00CD0FDA">
            <w:r w:rsidRPr="00A744B8">
              <w:t>Submit draft copy of SBECP Summary Worksheet to SAB</w:t>
            </w:r>
          </w:p>
        </w:tc>
      </w:tr>
      <w:tr w:rsidR="00F97CB9" w:rsidRPr="00A744B8" w14:paraId="469A22C7" w14:textId="77777777" w:rsidTr="00864619">
        <w:tc>
          <w:tcPr>
            <w:tcW w:w="1515" w:type="dxa"/>
          </w:tcPr>
          <w:p w14:paraId="65ACA5C4" w14:textId="77777777" w:rsidR="00F97CB9" w:rsidRPr="00A744B8" w:rsidRDefault="00F97CB9">
            <w:r w:rsidRPr="00A744B8">
              <w:t>July 1</w:t>
            </w:r>
          </w:p>
        </w:tc>
        <w:tc>
          <w:tcPr>
            <w:tcW w:w="2299" w:type="dxa"/>
          </w:tcPr>
          <w:p w14:paraId="2B604804" w14:textId="77777777" w:rsidR="00F97CB9" w:rsidRPr="00A744B8" w:rsidRDefault="00F97CB9">
            <w:r w:rsidRPr="00A744B8">
              <w:t>Agency</w:t>
            </w:r>
          </w:p>
        </w:tc>
        <w:tc>
          <w:tcPr>
            <w:tcW w:w="5536" w:type="dxa"/>
          </w:tcPr>
          <w:p w14:paraId="27B785F0" w14:textId="4ACCBC99" w:rsidR="00F97CB9" w:rsidRPr="00A744B8" w:rsidRDefault="00F97CB9">
            <w:r w:rsidRPr="00A744B8">
              <w:t>May begin submitting FY</w:t>
            </w:r>
            <w:r w:rsidR="00C72296">
              <w:t>2</w:t>
            </w:r>
            <w:r w:rsidR="003C5985">
              <w:t>2</w:t>
            </w:r>
            <w:r w:rsidRPr="00A744B8">
              <w:t xml:space="preserve"> entries</w:t>
            </w:r>
            <w:r w:rsidR="00CD0FDA" w:rsidRPr="00A744B8">
              <w:t xml:space="preserve"> w/ a July date</w:t>
            </w:r>
          </w:p>
        </w:tc>
      </w:tr>
      <w:tr w:rsidR="00DF7072" w:rsidRPr="00A744B8" w14:paraId="02C00CCF" w14:textId="77777777" w:rsidTr="00864619">
        <w:tc>
          <w:tcPr>
            <w:tcW w:w="1515" w:type="dxa"/>
          </w:tcPr>
          <w:p w14:paraId="26CB368D" w14:textId="0463F283" w:rsidR="00DF7072" w:rsidRPr="00A744B8" w:rsidRDefault="00DF7072" w:rsidP="00DF7072">
            <w:r w:rsidRPr="00A744B8">
              <w:t xml:space="preserve">July </w:t>
            </w:r>
            <w:r w:rsidR="003C5985">
              <w:t>8</w:t>
            </w:r>
          </w:p>
        </w:tc>
        <w:tc>
          <w:tcPr>
            <w:tcW w:w="2299" w:type="dxa"/>
          </w:tcPr>
          <w:p w14:paraId="5CF88C79" w14:textId="77777777" w:rsidR="00DF7072" w:rsidRPr="00A744B8" w:rsidRDefault="00DF7072" w:rsidP="00DF7072">
            <w:r w:rsidRPr="00A744B8">
              <w:t>Agency</w:t>
            </w:r>
          </w:p>
        </w:tc>
        <w:tc>
          <w:tcPr>
            <w:tcW w:w="5536" w:type="dxa"/>
          </w:tcPr>
          <w:p w14:paraId="4631E236" w14:textId="0BC04A2A" w:rsidR="00DF7072" w:rsidRPr="00A744B8" w:rsidRDefault="00DF7072" w:rsidP="00DF7072">
            <w:r w:rsidRPr="00A744B8">
              <w:t>Last day to process transactions in the Accounts Receivable (AR) module.  All FY</w:t>
            </w:r>
            <w:r w:rsidR="00C72296">
              <w:t>2</w:t>
            </w:r>
            <w:r w:rsidR="003C5985">
              <w:t>1</w:t>
            </w:r>
            <w:r w:rsidRPr="00A744B8">
              <w:t xml:space="preserve"> AR transactions, including bank deposits, made on or before June </w:t>
            </w:r>
            <w:r w:rsidR="00C72296">
              <w:t>30</w:t>
            </w:r>
            <w:r w:rsidRPr="00A744B8">
              <w:t xml:space="preserve"> in the State Treasury System must be completed</w:t>
            </w:r>
            <w:r w:rsidR="001C1325">
              <w:t>.</w:t>
            </w:r>
          </w:p>
        </w:tc>
      </w:tr>
      <w:tr w:rsidR="00E36D95" w:rsidRPr="00A744B8" w14:paraId="085157FB" w14:textId="77777777" w:rsidTr="00864619">
        <w:tc>
          <w:tcPr>
            <w:tcW w:w="1515" w:type="dxa"/>
          </w:tcPr>
          <w:p w14:paraId="36D4E1E2" w14:textId="6BF9F656" w:rsidR="00E36D95" w:rsidRPr="00A744B8" w:rsidRDefault="00E36D95" w:rsidP="00E36D95">
            <w:r w:rsidRPr="00EA762B">
              <w:t>July 1</w:t>
            </w:r>
            <w:r w:rsidR="00955AF0">
              <w:t>2</w:t>
            </w:r>
          </w:p>
        </w:tc>
        <w:tc>
          <w:tcPr>
            <w:tcW w:w="2299" w:type="dxa"/>
          </w:tcPr>
          <w:p w14:paraId="1FEA5D0A" w14:textId="4D433E30" w:rsidR="00E36D95" w:rsidRPr="00A744B8" w:rsidRDefault="00E36D95" w:rsidP="00E36D95">
            <w:r w:rsidRPr="00A744B8">
              <w:t>Agency</w:t>
            </w:r>
          </w:p>
        </w:tc>
        <w:tc>
          <w:tcPr>
            <w:tcW w:w="5536" w:type="dxa"/>
          </w:tcPr>
          <w:p w14:paraId="7D001C79" w14:textId="22C7B5D3" w:rsidR="00E36D95" w:rsidRPr="00A744B8" w:rsidRDefault="00E36D95" w:rsidP="00E36D95">
            <w:r w:rsidRPr="00A744B8">
              <w:t>Last day to submit supplier adds or change for FY</w:t>
            </w:r>
            <w:r>
              <w:t>2</w:t>
            </w:r>
            <w:r w:rsidR="00955AF0">
              <w:t>1</w:t>
            </w:r>
          </w:p>
        </w:tc>
      </w:tr>
      <w:tr w:rsidR="00E36D95" w:rsidRPr="00A744B8" w14:paraId="0930E1E5" w14:textId="77777777" w:rsidTr="00864619">
        <w:tc>
          <w:tcPr>
            <w:tcW w:w="1515" w:type="dxa"/>
          </w:tcPr>
          <w:p w14:paraId="750AB5C0" w14:textId="5B328EB9" w:rsidR="00E36D95" w:rsidRPr="00EA762B" w:rsidRDefault="00E36D95" w:rsidP="00E36D95">
            <w:r w:rsidRPr="00997831">
              <w:t>July 1</w:t>
            </w:r>
            <w:r w:rsidR="00955AF0">
              <w:t>3</w:t>
            </w:r>
          </w:p>
        </w:tc>
        <w:tc>
          <w:tcPr>
            <w:tcW w:w="2299" w:type="dxa"/>
          </w:tcPr>
          <w:p w14:paraId="36EB6A8E" w14:textId="7F8B4469" w:rsidR="00E36D95" w:rsidRPr="00A744B8" w:rsidRDefault="00E36D95" w:rsidP="00E36D95">
            <w:r w:rsidRPr="00A744B8">
              <w:t>Agency</w:t>
            </w:r>
          </w:p>
        </w:tc>
        <w:tc>
          <w:tcPr>
            <w:tcW w:w="5536" w:type="dxa"/>
          </w:tcPr>
          <w:p w14:paraId="0063A155" w14:textId="1CCC724C" w:rsidR="00E36D95" w:rsidRPr="00A744B8" w:rsidRDefault="00E36D95" w:rsidP="00E36D95">
            <w:r w:rsidRPr="00A744B8">
              <w:t>Deadline for interunit (IU) journals with DPHHS and MUS</w:t>
            </w:r>
          </w:p>
        </w:tc>
      </w:tr>
      <w:tr w:rsidR="00E36D95" w:rsidRPr="00A744B8" w14:paraId="6208AD7C" w14:textId="77777777" w:rsidTr="00864619">
        <w:tc>
          <w:tcPr>
            <w:tcW w:w="1515" w:type="dxa"/>
          </w:tcPr>
          <w:p w14:paraId="48AC76A8" w14:textId="62A90F0A" w:rsidR="00E36D95" w:rsidRPr="00997831" w:rsidRDefault="00E36D95" w:rsidP="00E36D95">
            <w:r w:rsidRPr="00A744B8">
              <w:t>July 1</w:t>
            </w:r>
            <w:r w:rsidR="00955AF0">
              <w:t>4</w:t>
            </w:r>
          </w:p>
        </w:tc>
        <w:tc>
          <w:tcPr>
            <w:tcW w:w="2299" w:type="dxa"/>
          </w:tcPr>
          <w:p w14:paraId="1B50D570" w14:textId="1343AE7F" w:rsidR="00E36D95" w:rsidRPr="00A744B8" w:rsidRDefault="00E36D95" w:rsidP="00E36D95">
            <w:r w:rsidRPr="00A744B8">
              <w:t>Agency</w:t>
            </w:r>
          </w:p>
        </w:tc>
        <w:tc>
          <w:tcPr>
            <w:tcW w:w="5536" w:type="dxa"/>
          </w:tcPr>
          <w:p w14:paraId="0718EB54" w14:textId="20DD965B" w:rsidR="00E36D95" w:rsidRPr="00A744B8" w:rsidRDefault="00E36D95" w:rsidP="00E36D95">
            <w:r w:rsidRPr="00A744B8">
              <w:t>Last day to process</w:t>
            </w:r>
            <w:r w:rsidR="00955AF0">
              <w:t xml:space="preserve"> FY21</w:t>
            </w:r>
            <w:r w:rsidRPr="00A744B8">
              <w:t xml:space="preserve"> transactions in the Accounts Payable (AP) module</w:t>
            </w:r>
          </w:p>
        </w:tc>
      </w:tr>
      <w:tr w:rsidR="00E36D95" w:rsidRPr="00A744B8" w14:paraId="625415A5" w14:textId="77777777" w:rsidTr="00864619">
        <w:tc>
          <w:tcPr>
            <w:tcW w:w="1515" w:type="dxa"/>
          </w:tcPr>
          <w:p w14:paraId="45B82D12" w14:textId="0CFB5A5A" w:rsidR="00E36D95" w:rsidRPr="00A744B8" w:rsidRDefault="00E36D95" w:rsidP="00E36D95">
            <w:r w:rsidRPr="00997831">
              <w:t>July 1</w:t>
            </w:r>
            <w:r w:rsidR="00955AF0">
              <w:t>5</w:t>
            </w:r>
          </w:p>
        </w:tc>
        <w:tc>
          <w:tcPr>
            <w:tcW w:w="2299" w:type="dxa"/>
          </w:tcPr>
          <w:p w14:paraId="45A5E7B3" w14:textId="77777777" w:rsidR="00E36D95" w:rsidRPr="00A744B8" w:rsidRDefault="00E36D95" w:rsidP="00E36D95">
            <w:r w:rsidRPr="00A744B8">
              <w:t>Agency</w:t>
            </w:r>
          </w:p>
        </w:tc>
        <w:tc>
          <w:tcPr>
            <w:tcW w:w="5536" w:type="dxa"/>
          </w:tcPr>
          <w:p w14:paraId="08B6A7E8" w14:textId="77777777" w:rsidR="00E36D95" w:rsidRPr="00A744B8" w:rsidRDefault="00E36D95" w:rsidP="00E36D95">
            <w:r w:rsidRPr="00A744B8">
              <w:t>Last day to submit lease schedules to SAB</w:t>
            </w:r>
          </w:p>
        </w:tc>
      </w:tr>
      <w:tr w:rsidR="00E36D95" w:rsidRPr="00A744B8" w14:paraId="211C0920" w14:textId="77777777" w:rsidTr="00864619">
        <w:tc>
          <w:tcPr>
            <w:tcW w:w="1515" w:type="dxa"/>
          </w:tcPr>
          <w:p w14:paraId="7352BBE5" w14:textId="526E96A6" w:rsidR="00E36D95" w:rsidRPr="00A744B8" w:rsidRDefault="00E36D95" w:rsidP="00E36D95">
            <w:r w:rsidRPr="00997831">
              <w:t xml:space="preserve">July </w:t>
            </w:r>
            <w:r w:rsidR="00955AF0">
              <w:t>19</w:t>
            </w:r>
          </w:p>
        </w:tc>
        <w:tc>
          <w:tcPr>
            <w:tcW w:w="2299" w:type="dxa"/>
          </w:tcPr>
          <w:p w14:paraId="47FF3993" w14:textId="63F76063" w:rsidR="00E36D95" w:rsidRPr="00A744B8" w:rsidRDefault="00E36D95" w:rsidP="00E36D95">
            <w:r w:rsidRPr="00A744B8">
              <w:t>Agency</w:t>
            </w:r>
          </w:p>
        </w:tc>
        <w:tc>
          <w:tcPr>
            <w:tcW w:w="5536" w:type="dxa"/>
          </w:tcPr>
          <w:p w14:paraId="2550A022" w14:textId="3DF5D581" w:rsidR="00E36D95" w:rsidRPr="00A744B8" w:rsidRDefault="00E36D95" w:rsidP="00E36D95">
            <w:r w:rsidRPr="00A744B8">
              <w:t>Last day to initiate IU journals to allow enough time for the receiving agency to process them by July 2</w:t>
            </w:r>
            <w:r w:rsidR="00955AF0">
              <w:t>2</w:t>
            </w:r>
          </w:p>
        </w:tc>
      </w:tr>
      <w:tr w:rsidR="00E36D95" w:rsidRPr="00A744B8" w14:paraId="37AE0180" w14:textId="77777777" w:rsidTr="00864619">
        <w:tc>
          <w:tcPr>
            <w:tcW w:w="1515" w:type="dxa"/>
          </w:tcPr>
          <w:p w14:paraId="7D05B558" w14:textId="7A756A4B" w:rsidR="00E36D95" w:rsidRPr="00997831" w:rsidRDefault="00E36D95" w:rsidP="00E36D95">
            <w:r>
              <w:t xml:space="preserve">July </w:t>
            </w:r>
            <w:r w:rsidR="00955AF0">
              <w:t>19</w:t>
            </w:r>
          </w:p>
        </w:tc>
        <w:tc>
          <w:tcPr>
            <w:tcW w:w="2299" w:type="dxa"/>
          </w:tcPr>
          <w:p w14:paraId="5F0AF48B" w14:textId="6409F5FF" w:rsidR="00E36D95" w:rsidRPr="00A744B8" w:rsidRDefault="00E36D95" w:rsidP="00E36D95">
            <w:r>
              <w:t>Agency</w:t>
            </w:r>
          </w:p>
        </w:tc>
        <w:tc>
          <w:tcPr>
            <w:tcW w:w="5536" w:type="dxa"/>
          </w:tcPr>
          <w:p w14:paraId="425450D6" w14:textId="00005DF3" w:rsidR="00E36D95" w:rsidRPr="00A744B8" w:rsidRDefault="00E36D95" w:rsidP="00E36D95">
            <w:r>
              <w:t xml:space="preserve">Last day to process </w:t>
            </w:r>
            <w:r w:rsidR="00955AF0">
              <w:t xml:space="preserve">FY 21 </w:t>
            </w:r>
            <w:r>
              <w:t>transactions in the Asset Management (AM) module</w:t>
            </w:r>
          </w:p>
        </w:tc>
      </w:tr>
      <w:tr w:rsidR="00E36D95" w14:paraId="1E20FF63" w14:textId="77777777" w:rsidTr="00864619">
        <w:tc>
          <w:tcPr>
            <w:tcW w:w="1515" w:type="dxa"/>
          </w:tcPr>
          <w:p w14:paraId="3372D0A2" w14:textId="2DC78B14" w:rsidR="00E36D95" w:rsidRDefault="00E36D95" w:rsidP="00E36D95">
            <w:r w:rsidRPr="00997831">
              <w:t>July 2</w:t>
            </w:r>
            <w:r w:rsidR="00955AF0">
              <w:t>0</w:t>
            </w:r>
          </w:p>
        </w:tc>
        <w:tc>
          <w:tcPr>
            <w:tcW w:w="2299" w:type="dxa"/>
          </w:tcPr>
          <w:p w14:paraId="56BA9D22" w14:textId="77777777" w:rsidR="00E36D95" w:rsidRDefault="00E36D95" w:rsidP="00E36D95">
            <w:r>
              <w:t>Agency</w:t>
            </w:r>
          </w:p>
        </w:tc>
        <w:tc>
          <w:tcPr>
            <w:tcW w:w="5536" w:type="dxa"/>
          </w:tcPr>
          <w:p w14:paraId="502B09BA" w14:textId="40CCE712" w:rsidR="00E36D95" w:rsidRDefault="00E36D95" w:rsidP="00E36D95">
            <w:r>
              <w:t xml:space="preserve">Last day to submit a letter to SAB/SAFRS to carry forward </w:t>
            </w:r>
            <w:proofErr w:type="gramStart"/>
            <w:r>
              <w:t>A</w:t>
            </w:r>
            <w:proofErr w:type="gramEnd"/>
            <w:r>
              <w:t xml:space="preserve"> Accruals into FY2</w:t>
            </w:r>
            <w:r w:rsidR="00955AF0">
              <w:t>2</w:t>
            </w:r>
          </w:p>
        </w:tc>
      </w:tr>
      <w:tr w:rsidR="00E36D95" w14:paraId="35112E0D" w14:textId="77777777" w:rsidTr="00864619">
        <w:tc>
          <w:tcPr>
            <w:tcW w:w="1515" w:type="dxa"/>
          </w:tcPr>
          <w:p w14:paraId="1AD8D1EE" w14:textId="3CA5708D" w:rsidR="00E36D95" w:rsidRPr="00997831" w:rsidRDefault="00E36D95" w:rsidP="00E36D95">
            <w:r w:rsidRPr="00997831">
              <w:t>July 2</w:t>
            </w:r>
            <w:r w:rsidR="00955AF0">
              <w:t>0</w:t>
            </w:r>
          </w:p>
        </w:tc>
        <w:tc>
          <w:tcPr>
            <w:tcW w:w="2299" w:type="dxa"/>
          </w:tcPr>
          <w:p w14:paraId="0AFA52A8" w14:textId="77777777" w:rsidR="00E36D95" w:rsidRDefault="00E36D95" w:rsidP="00E36D95">
            <w:r>
              <w:t>Agency</w:t>
            </w:r>
          </w:p>
        </w:tc>
        <w:tc>
          <w:tcPr>
            <w:tcW w:w="5536" w:type="dxa"/>
          </w:tcPr>
          <w:p w14:paraId="4041BD8A" w14:textId="53EACEB9" w:rsidR="00E36D95" w:rsidRDefault="00E36D95" w:rsidP="00E36D95">
            <w:r>
              <w:t>Last day to submit regular FY2</w:t>
            </w:r>
            <w:r w:rsidR="00955AF0">
              <w:t>1</w:t>
            </w:r>
            <w:r>
              <w:t xml:space="preserve"> BCDs to OBPP</w:t>
            </w:r>
          </w:p>
        </w:tc>
      </w:tr>
      <w:tr w:rsidR="00E36D95" w14:paraId="7573C9F4" w14:textId="77777777" w:rsidTr="00864619">
        <w:tc>
          <w:tcPr>
            <w:tcW w:w="1515" w:type="dxa"/>
          </w:tcPr>
          <w:p w14:paraId="6F20772C" w14:textId="2430C148" w:rsidR="00E36D95" w:rsidRPr="00997831" w:rsidRDefault="00E36D95" w:rsidP="00E36D95">
            <w:r w:rsidRPr="00997831">
              <w:t>July 2</w:t>
            </w:r>
            <w:r w:rsidR="00955AF0">
              <w:t>2</w:t>
            </w:r>
          </w:p>
          <w:p w14:paraId="4B88B3A4" w14:textId="77777777" w:rsidR="00E36D95" w:rsidRPr="00997831" w:rsidRDefault="00E36D95" w:rsidP="00E36D95">
            <w:r w:rsidRPr="00997831">
              <w:t>Noon</w:t>
            </w:r>
          </w:p>
        </w:tc>
        <w:tc>
          <w:tcPr>
            <w:tcW w:w="2299" w:type="dxa"/>
          </w:tcPr>
          <w:p w14:paraId="566080B4" w14:textId="77777777" w:rsidR="00E36D95" w:rsidRDefault="00E36D95" w:rsidP="00E36D95">
            <w:r>
              <w:t>Agency</w:t>
            </w:r>
          </w:p>
        </w:tc>
        <w:tc>
          <w:tcPr>
            <w:tcW w:w="5536" w:type="dxa"/>
          </w:tcPr>
          <w:p w14:paraId="4F366955" w14:textId="712EDF13" w:rsidR="00E36D95" w:rsidRDefault="00E36D95" w:rsidP="00E36D95">
            <w:r>
              <w:t>Last day for emergency FY2</w:t>
            </w:r>
            <w:r w:rsidR="00955AF0">
              <w:t>1</w:t>
            </w:r>
            <w:r>
              <w:t xml:space="preserve"> BCDs to OBPP</w:t>
            </w:r>
          </w:p>
        </w:tc>
      </w:tr>
      <w:tr w:rsidR="00E36D95" w14:paraId="12BA4FF9" w14:textId="77777777" w:rsidTr="00864619">
        <w:tc>
          <w:tcPr>
            <w:tcW w:w="1515" w:type="dxa"/>
          </w:tcPr>
          <w:p w14:paraId="76177AF1" w14:textId="58B216FE" w:rsidR="00E36D95" w:rsidRDefault="00E36D95" w:rsidP="00E36D95">
            <w:r>
              <w:t>July 2</w:t>
            </w:r>
            <w:r w:rsidR="00955AF0">
              <w:t>2</w:t>
            </w:r>
          </w:p>
        </w:tc>
        <w:tc>
          <w:tcPr>
            <w:tcW w:w="2299" w:type="dxa"/>
          </w:tcPr>
          <w:p w14:paraId="7DD45F91" w14:textId="77777777" w:rsidR="00E36D95" w:rsidRDefault="00E36D95" w:rsidP="00E36D95">
            <w:r>
              <w:t>Agency</w:t>
            </w:r>
          </w:p>
        </w:tc>
        <w:tc>
          <w:tcPr>
            <w:tcW w:w="5536" w:type="dxa"/>
          </w:tcPr>
          <w:p w14:paraId="57632CCB" w14:textId="22C91CFE" w:rsidR="00E36D95" w:rsidRDefault="00E36D95" w:rsidP="00E36D95">
            <w:r>
              <w:t xml:space="preserve">Last day to process </w:t>
            </w:r>
            <w:r w:rsidR="00955AF0">
              <w:t xml:space="preserve">FY 21 </w:t>
            </w:r>
            <w:r>
              <w:t>General Ledger (GL) transactions</w:t>
            </w:r>
          </w:p>
        </w:tc>
      </w:tr>
      <w:tr w:rsidR="00E36D95" w14:paraId="6B62F9D3" w14:textId="77777777" w:rsidTr="00864619">
        <w:tc>
          <w:tcPr>
            <w:tcW w:w="1515" w:type="dxa"/>
          </w:tcPr>
          <w:p w14:paraId="341AED93" w14:textId="358C4E7D" w:rsidR="00E36D95" w:rsidRDefault="00E36D95" w:rsidP="00E36D95">
            <w:r>
              <w:t>July 2</w:t>
            </w:r>
            <w:r w:rsidR="00955AF0">
              <w:t>2</w:t>
            </w:r>
          </w:p>
        </w:tc>
        <w:tc>
          <w:tcPr>
            <w:tcW w:w="2299" w:type="dxa"/>
          </w:tcPr>
          <w:p w14:paraId="0818E99C" w14:textId="50B701D3" w:rsidR="00E36D95" w:rsidRDefault="00E36D95" w:rsidP="00E36D95">
            <w:r>
              <w:t>Agency</w:t>
            </w:r>
          </w:p>
        </w:tc>
        <w:tc>
          <w:tcPr>
            <w:tcW w:w="5536" w:type="dxa"/>
          </w:tcPr>
          <w:p w14:paraId="3EC6CAE8" w14:textId="77309625" w:rsidR="00E36D95" w:rsidRDefault="00E36D95" w:rsidP="00E36D95">
            <w:r>
              <w:t>Agencies need to make final review of trial balances for unusual account balances that need to be corrected before fiscal year-end closing. Last day to submit adjusting and correcting entries to post by July 2</w:t>
            </w:r>
            <w:r w:rsidR="00955AF0">
              <w:t>3</w:t>
            </w:r>
            <w:r w:rsidR="001C1325">
              <w:t>.</w:t>
            </w:r>
          </w:p>
        </w:tc>
      </w:tr>
      <w:tr w:rsidR="00E36D95" w14:paraId="6128BB01" w14:textId="77777777" w:rsidTr="00864619">
        <w:tc>
          <w:tcPr>
            <w:tcW w:w="1515" w:type="dxa"/>
          </w:tcPr>
          <w:p w14:paraId="109AD056" w14:textId="0E485DA0" w:rsidR="00E36D95" w:rsidRDefault="00E36D95" w:rsidP="00E36D95">
            <w:r>
              <w:t>July 2</w:t>
            </w:r>
            <w:r w:rsidR="00955AF0">
              <w:t>3</w:t>
            </w:r>
          </w:p>
        </w:tc>
        <w:tc>
          <w:tcPr>
            <w:tcW w:w="2299" w:type="dxa"/>
          </w:tcPr>
          <w:p w14:paraId="1E3734A8" w14:textId="77777777" w:rsidR="00E36D95" w:rsidRDefault="00E36D95" w:rsidP="00E36D95">
            <w:r>
              <w:t>SAB/Agency</w:t>
            </w:r>
          </w:p>
        </w:tc>
        <w:tc>
          <w:tcPr>
            <w:tcW w:w="5536" w:type="dxa"/>
          </w:tcPr>
          <w:p w14:paraId="46EBDA76" w14:textId="6F1D696F" w:rsidR="00E36D95" w:rsidRDefault="00E36D95" w:rsidP="00E36D95">
            <w:r>
              <w:t>Correct outstanding errors and run FY2</w:t>
            </w:r>
            <w:r w:rsidR="00955AF0">
              <w:t>1</w:t>
            </w:r>
            <w:r>
              <w:t xml:space="preserve"> closing process.  Every agency must have staff available during the closing process</w:t>
            </w:r>
            <w:r w:rsidR="001C1325">
              <w:t>.</w:t>
            </w:r>
          </w:p>
        </w:tc>
      </w:tr>
    </w:tbl>
    <w:p w14:paraId="0AD1B754" w14:textId="77777777" w:rsidR="001E4307" w:rsidRDefault="001E4307" w:rsidP="009F36A3">
      <w:pPr>
        <w:pStyle w:val="Heading1"/>
      </w:pPr>
    </w:p>
    <w:p w14:paraId="12381C36" w14:textId="77777777" w:rsidR="001E4307" w:rsidRDefault="001E4307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14:paraId="729B02E8" w14:textId="2A72D3E7" w:rsidR="009F36A3" w:rsidRDefault="009F36A3" w:rsidP="009F36A3">
      <w:pPr>
        <w:pStyle w:val="Heading1"/>
      </w:pPr>
      <w:r>
        <w:lastRenderedPageBreak/>
        <w:t>SABHRS Modules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7"/>
        <w:gridCol w:w="2121"/>
        <w:gridCol w:w="1292"/>
        <w:gridCol w:w="1151"/>
        <w:gridCol w:w="3159"/>
      </w:tblGrid>
      <w:tr w:rsidR="00083260" w14:paraId="743008C8" w14:textId="77777777" w:rsidTr="00F835D1">
        <w:tc>
          <w:tcPr>
            <w:tcW w:w="1627" w:type="dxa"/>
            <w:shd w:val="clear" w:color="auto" w:fill="BFBFBF" w:themeFill="background1" w:themeFillShade="BF"/>
          </w:tcPr>
          <w:p w14:paraId="3FCB6D8D" w14:textId="77777777" w:rsidR="00E734B4" w:rsidRPr="00E734B4" w:rsidRDefault="00E734B4" w:rsidP="00E734B4">
            <w:pPr>
              <w:rPr>
                <w:b/>
              </w:rPr>
            </w:pPr>
          </w:p>
          <w:p w14:paraId="7A368A05" w14:textId="77777777" w:rsidR="00083260" w:rsidRPr="00E734B4" w:rsidRDefault="00E734B4" w:rsidP="00E734B4">
            <w:pPr>
              <w:rPr>
                <w:b/>
              </w:rPr>
            </w:pPr>
            <w:r w:rsidRPr="00E734B4">
              <w:rPr>
                <w:b/>
              </w:rPr>
              <w:t>Module</w:t>
            </w:r>
          </w:p>
        </w:tc>
        <w:tc>
          <w:tcPr>
            <w:tcW w:w="2121" w:type="dxa"/>
            <w:shd w:val="clear" w:color="auto" w:fill="BFBFBF" w:themeFill="background1" w:themeFillShade="BF"/>
          </w:tcPr>
          <w:p w14:paraId="1959CCD1" w14:textId="77777777" w:rsidR="00E734B4" w:rsidRPr="00E734B4" w:rsidRDefault="00E734B4">
            <w:pPr>
              <w:rPr>
                <w:b/>
              </w:rPr>
            </w:pPr>
          </w:p>
          <w:p w14:paraId="25133017" w14:textId="77777777" w:rsidR="00083260" w:rsidRPr="00E734B4" w:rsidRDefault="00E734B4">
            <w:pPr>
              <w:rPr>
                <w:b/>
              </w:rPr>
            </w:pPr>
            <w:r w:rsidRPr="00E734B4">
              <w:rPr>
                <w:b/>
              </w:rPr>
              <w:t>Period</w:t>
            </w:r>
          </w:p>
        </w:tc>
        <w:tc>
          <w:tcPr>
            <w:tcW w:w="1292" w:type="dxa"/>
            <w:shd w:val="clear" w:color="auto" w:fill="BFBFBF" w:themeFill="background1" w:themeFillShade="BF"/>
          </w:tcPr>
          <w:p w14:paraId="6C28A4BD" w14:textId="74B7A702" w:rsidR="00456211" w:rsidRDefault="00456211">
            <w:pPr>
              <w:rPr>
                <w:b/>
              </w:rPr>
            </w:pPr>
            <w:r>
              <w:rPr>
                <w:b/>
              </w:rPr>
              <w:t>FY</w:t>
            </w:r>
            <w:r w:rsidR="00C72296">
              <w:rPr>
                <w:b/>
              </w:rPr>
              <w:t>2</w:t>
            </w:r>
            <w:r w:rsidR="0009085A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</w:p>
          <w:p w14:paraId="6E44E450" w14:textId="77777777" w:rsidR="00083260" w:rsidRPr="00E734B4" w:rsidRDefault="00E734B4">
            <w:pPr>
              <w:rPr>
                <w:b/>
              </w:rPr>
            </w:pPr>
            <w:r w:rsidRPr="00E734B4">
              <w:rPr>
                <w:b/>
              </w:rPr>
              <w:t>Status</w:t>
            </w:r>
          </w:p>
        </w:tc>
        <w:tc>
          <w:tcPr>
            <w:tcW w:w="1151" w:type="dxa"/>
            <w:shd w:val="clear" w:color="auto" w:fill="BFBFBF" w:themeFill="background1" w:themeFillShade="BF"/>
          </w:tcPr>
          <w:p w14:paraId="59C9C172" w14:textId="21D18319" w:rsidR="00786A20" w:rsidRDefault="00456211">
            <w:pPr>
              <w:rPr>
                <w:b/>
              </w:rPr>
            </w:pPr>
            <w:r>
              <w:rPr>
                <w:b/>
              </w:rPr>
              <w:t>FY</w:t>
            </w:r>
            <w:r w:rsidR="00786A20">
              <w:rPr>
                <w:b/>
              </w:rPr>
              <w:t>2</w:t>
            </w:r>
            <w:r w:rsidR="0009085A">
              <w:rPr>
                <w:b/>
              </w:rPr>
              <w:t>2</w:t>
            </w:r>
          </w:p>
          <w:p w14:paraId="63F7C26D" w14:textId="0264381F" w:rsidR="00083260" w:rsidRPr="00E734B4" w:rsidRDefault="00E734B4">
            <w:pPr>
              <w:rPr>
                <w:b/>
              </w:rPr>
            </w:pPr>
            <w:r w:rsidRPr="00E734B4">
              <w:rPr>
                <w:b/>
              </w:rPr>
              <w:t>Status</w:t>
            </w:r>
          </w:p>
        </w:tc>
        <w:tc>
          <w:tcPr>
            <w:tcW w:w="3159" w:type="dxa"/>
            <w:shd w:val="clear" w:color="auto" w:fill="BFBFBF" w:themeFill="background1" w:themeFillShade="BF"/>
          </w:tcPr>
          <w:p w14:paraId="32EAC90F" w14:textId="77777777" w:rsidR="00083260" w:rsidRPr="00E734B4" w:rsidRDefault="00E734B4">
            <w:pPr>
              <w:rPr>
                <w:b/>
              </w:rPr>
            </w:pPr>
            <w:r w:rsidRPr="00E734B4">
              <w:rPr>
                <w:b/>
              </w:rPr>
              <w:t>Default accounting date on transactions</w:t>
            </w:r>
          </w:p>
        </w:tc>
      </w:tr>
      <w:tr w:rsidR="00083260" w14:paraId="6165BFE2" w14:textId="77777777" w:rsidTr="00F835D1">
        <w:trPr>
          <w:trHeight w:val="135"/>
        </w:trPr>
        <w:tc>
          <w:tcPr>
            <w:tcW w:w="1627" w:type="dxa"/>
            <w:vMerge w:val="restart"/>
          </w:tcPr>
          <w:p w14:paraId="71CDD3AB" w14:textId="77777777" w:rsidR="00083260" w:rsidRDefault="00E734B4">
            <w:r>
              <w:t>Accounts Receivable</w:t>
            </w:r>
          </w:p>
        </w:tc>
        <w:tc>
          <w:tcPr>
            <w:tcW w:w="2121" w:type="dxa"/>
          </w:tcPr>
          <w:p w14:paraId="003E406F" w14:textId="6673F655" w:rsidR="00083260" w:rsidRDefault="00864619">
            <w:r>
              <w:t xml:space="preserve">July 1 to July </w:t>
            </w:r>
            <w:r w:rsidR="00955AF0">
              <w:t>8</w:t>
            </w:r>
          </w:p>
        </w:tc>
        <w:tc>
          <w:tcPr>
            <w:tcW w:w="1292" w:type="dxa"/>
          </w:tcPr>
          <w:p w14:paraId="6F3A98CB" w14:textId="77777777" w:rsidR="00083260" w:rsidRDefault="00E734B4">
            <w:r>
              <w:t>Open</w:t>
            </w:r>
          </w:p>
        </w:tc>
        <w:tc>
          <w:tcPr>
            <w:tcW w:w="1151" w:type="dxa"/>
          </w:tcPr>
          <w:p w14:paraId="3604A5F9" w14:textId="77777777" w:rsidR="00083260" w:rsidRDefault="00E734B4">
            <w:r>
              <w:t>Open</w:t>
            </w:r>
          </w:p>
        </w:tc>
        <w:tc>
          <w:tcPr>
            <w:tcW w:w="3159" w:type="dxa"/>
          </w:tcPr>
          <w:p w14:paraId="6B601DD7" w14:textId="77777777" w:rsidR="00083260" w:rsidRDefault="00456211">
            <w:r>
              <w:t>Current d</w:t>
            </w:r>
            <w:r w:rsidR="00E734B4">
              <w:t>ate</w:t>
            </w:r>
          </w:p>
        </w:tc>
      </w:tr>
      <w:tr w:rsidR="00083260" w14:paraId="1B53D607" w14:textId="77777777" w:rsidTr="00F835D1">
        <w:trPr>
          <w:trHeight w:val="135"/>
        </w:trPr>
        <w:tc>
          <w:tcPr>
            <w:tcW w:w="1627" w:type="dxa"/>
            <w:vMerge/>
          </w:tcPr>
          <w:p w14:paraId="177F27D5" w14:textId="77777777" w:rsidR="00083260" w:rsidRDefault="00083260"/>
        </w:tc>
        <w:tc>
          <w:tcPr>
            <w:tcW w:w="2121" w:type="dxa"/>
          </w:tcPr>
          <w:p w14:paraId="0427CAFC" w14:textId="0ABD3A56" w:rsidR="00083260" w:rsidRDefault="00864619">
            <w:r>
              <w:t xml:space="preserve">July </w:t>
            </w:r>
            <w:r w:rsidR="00955AF0">
              <w:t>9</w:t>
            </w:r>
            <w:r w:rsidR="00E734B4">
              <w:t xml:space="preserve"> to July 2</w:t>
            </w:r>
            <w:r w:rsidR="00955AF0">
              <w:t>3</w:t>
            </w:r>
          </w:p>
        </w:tc>
        <w:tc>
          <w:tcPr>
            <w:tcW w:w="1292" w:type="dxa"/>
          </w:tcPr>
          <w:p w14:paraId="05A2C64B" w14:textId="77777777" w:rsidR="00083260" w:rsidRDefault="00E734B4">
            <w:r>
              <w:t>Closed</w:t>
            </w:r>
          </w:p>
        </w:tc>
        <w:tc>
          <w:tcPr>
            <w:tcW w:w="1151" w:type="dxa"/>
          </w:tcPr>
          <w:p w14:paraId="509DED2F" w14:textId="77777777" w:rsidR="00083260" w:rsidRDefault="00E734B4">
            <w:r>
              <w:t>Open</w:t>
            </w:r>
          </w:p>
        </w:tc>
        <w:tc>
          <w:tcPr>
            <w:tcW w:w="3159" w:type="dxa"/>
          </w:tcPr>
          <w:p w14:paraId="55A0F7EB" w14:textId="77777777" w:rsidR="00083260" w:rsidRDefault="00456211">
            <w:r>
              <w:t>Current d</w:t>
            </w:r>
            <w:r w:rsidR="00E734B4">
              <w:t>ate</w:t>
            </w:r>
          </w:p>
        </w:tc>
      </w:tr>
      <w:tr w:rsidR="00E734B4" w14:paraId="0A51F9F8" w14:textId="77777777" w:rsidTr="00F835D1">
        <w:trPr>
          <w:trHeight w:val="135"/>
        </w:trPr>
        <w:tc>
          <w:tcPr>
            <w:tcW w:w="1627" w:type="dxa"/>
            <w:vMerge w:val="restart"/>
          </w:tcPr>
          <w:p w14:paraId="7A469458" w14:textId="77777777" w:rsidR="00E734B4" w:rsidRDefault="00E734B4">
            <w:r>
              <w:t>Accounts Payable</w:t>
            </w:r>
          </w:p>
        </w:tc>
        <w:tc>
          <w:tcPr>
            <w:tcW w:w="2121" w:type="dxa"/>
          </w:tcPr>
          <w:p w14:paraId="00B5F0F4" w14:textId="273396FE" w:rsidR="00E734B4" w:rsidRDefault="00864619">
            <w:r>
              <w:t>July 1 to July 1</w:t>
            </w:r>
            <w:r w:rsidR="00955AF0">
              <w:t>4</w:t>
            </w:r>
          </w:p>
        </w:tc>
        <w:tc>
          <w:tcPr>
            <w:tcW w:w="1292" w:type="dxa"/>
          </w:tcPr>
          <w:p w14:paraId="5EE97337" w14:textId="77777777" w:rsidR="00E734B4" w:rsidRDefault="00E734B4">
            <w:r>
              <w:t>Open</w:t>
            </w:r>
          </w:p>
        </w:tc>
        <w:tc>
          <w:tcPr>
            <w:tcW w:w="1151" w:type="dxa"/>
          </w:tcPr>
          <w:p w14:paraId="3CF5F620" w14:textId="77777777" w:rsidR="00E734B4" w:rsidRDefault="00E734B4">
            <w:r>
              <w:t>Open</w:t>
            </w:r>
          </w:p>
        </w:tc>
        <w:tc>
          <w:tcPr>
            <w:tcW w:w="3159" w:type="dxa"/>
          </w:tcPr>
          <w:p w14:paraId="42EFF334" w14:textId="73AAD5F2" w:rsidR="00E734B4" w:rsidRDefault="00E734B4">
            <w:r>
              <w:t>June 30, 20</w:t>
            </w:r>
            <w:r w:rsidR="00C72296">
              <w:t>2</w:t>
            </w:r>
            <w:r w:rsidR="00955AF0">
              <w:t>1</w:t>
            </w:r>
          </w:p>
        </w:tc>
      </w:tr>
      <w:tr w:rsidR="00E734B4" w14:paraId="12E89ADB" w14:textId="77777777" w:rsidTr="00F835D1">
        <w:trPr>
          <w:trHeight w:val="135"/>
        </w:trPr>
        <w:tc>
          <w:tcPr>
            <w:tcW w:w="1627" w:type="dxa"/>
            <w:vMerge/>
          </w:tcPr>
          <w:p w14:paraId="05EF5E0A" w14:textId="77777777" w:rsidR="00E734B4" w:rsidRDefault="00E734B4"/>
        </w:tc>
        <w:tc>
          <w:tcPr>
            <w:tcW w:w="2121" w:type="dxa"/>
          </w:tcPr>
          <w:p w14:paraId="4AF748EC" w14:textId="6D0B2763" w:rsidR="00E734B4" w:rsidRDefault="00864619">
            <w:r>
              <w:t>July 1</w:t>
            </w:r>
            <w:r w:rsidR="00955AF0">
              <w:t>5</w:t>
            </w:r>
            <w:r w:rsidR="00E734B4">
              <w:t xml:space="preserve"> to July 2</w:t>
            </w:r>
            <w:r w:rsidR="00955AF0">
              <w:t>3</w:t>
            </w:r>
          </w:p>
        </w:tc>
        <w:tc>
          <w:tcPr>
            <w:tcW w:w="1292" w:type="dxa"/>
          </w:tcPr>
          <w:p w14:paraId="0BB574C8" w14:textId="77777777" w:rsidR="00E734B4" w:rsidRDefault="00E734B4">
            <w:r>
              <w:t>Closed</w:t>
            </w:r>
          </w:p>
        </w:tc>
        <w:tc>
          <w:tcPr>
            <w:tcW w:w="1151" w:type="dxa"/>
          </w:tcPr>
          <w:p w14:paraId="4B4DD779" w14:textId="77777777" w:rsidR="00E734B4" w:rsidRDefault="00E734B4">
            <w:r>
              <w:t>Open</w:t>
            </w:r>
          </w:p>
        </w:tc>
        <w:tc>
          <w:tcPr>
            <w:tcW w:w="3159" w:type="dxa"/>
          </w:tcPr>
          <w:p w14:paraId="04502D5A" w14:textId="77777777" w:rsidR="00E734B4" w:rsidRDefault="00E734B4">
            <w:r>
              <w:t>Current date</w:t>
            </w:r>
          </w:p>
        </w:tc>
      </w:tr>
      <w:tr w:rsidR="00E734B4" w14:paraId="270E9B45" w14:textId="77777777" w:rsidTr="00F835D1">
        <w:trPr>
          <w:trHeight w:val="135"/>
        </w:trPr>
        <w:tc>
          <w:tcPr>
            <w:tcW w:w="1627" w:type="dxa"/>
            <w:vMerge w:val="restart"/>
          </w:tcPr>
          <w:p w14:paraId="00899024" w14:textId="77777777" w:rsidR="00E734B4" w:rsidRDefault="00E734B4">
            <w:r>
              <w:t>Asset Management</w:t>
            </w:r>
          </w:p>
        </w:tc>
        <w:tc>
          <w:tcPr>
            <w:tcW w:w="2121" w:type="dxa"/>
          </w:tcPr>
          <w:p w14:paraId="386B5A9E" w14:textId="1888655C" w:rsidR="00E734B4" w:rsidRDefault="00E734B4">
            <w:r>
              <w:t xml:space="preserve">July 1 to July </w:t>
            </w:r>
            <w:r w:rsidR="00955AF0">
              <w:t>19</w:t>
            </w:r>
          </w:p>
        </w:tc>
        <w:tc>
          <w:tcPr>
            <w:tcW w:w="1292" w:type="dxa"/>
          </w:tcPr>
          <w:p w14:paraId="09803951" w14:textId="77777777" w:rsidR="00E734B4" w:rsidRDefault="00E734B4">
            <w:r>
              <w:t>Open</w:t>
            </w:r>
          </w:p>
        </w:tc>
        <w:tc>
          <w:tcPr>
            <w:tcW w:w="1151" w:type="dxa"/>
          </w:tcPr>
          <w:p w14:paraId="1723962B" w14:textId="77777777" w:rsidR="00E734B4" w:rsidRDefault="00864619">
            <w:r>
              <w:t>Open</w:t>
            </w:r>
          </w:p>
        </w:tc>
        <w:tc>
          <w:tcPr>
            <w:tcW w:w="3159" w:type="dxa"/>
          </w:tcPr>
          <w:p w14:paraId="4B44BCDF" w14:textId="2457E557" w:rsidR="00E734B4" w:rsidRDefault="00E734B4">
            <w:r>
              <w:t>June 30, 20</w:t>
            </w:r>
            <w:r w:rsidR="00C72296">
              <w:t>2</w:t>
            </w:r>
            <w:r w:rsidR="00955AF0">
              <w:t>1</w:t>
            </w:r>
          </w:p>
        </w:tc>
      </w:tr>
      <w:tr w:rsidR="00E734B4" w14:paraId="0DBD0D0C" w14:textId="77777777" w:rsidTr="00F835D1">
        <w:trPr>
          <w:trHeight w:val="135"/>
        </w:trPr>
        <w:tc>
          <w:tcPr>
            <w:tcW w:w="1627" w:type="dxa"/>
            <w:vMerge/>
          </w:tcPr>
          <w:p w14:paraId="76675AE3" w14:textId="77777777" w:rsidR="00E734B4" w:rsidRDefault="00E734B4"/>
        </w:tc>
        <w:tc>
          <w:tcPr>
            <w:tcW w:w="2121" w:type="dxa"/>
          </w:tcPr>
          <w:p w14:paraId="7616B8D6" w14:textId="4F863118" w:rsidR="00E734B4" w:rsidRDefault="00E734B4">
            <w:r>
              <w:t xml:space="preserve">July </w:t>
            </w:r>
            <w:r w:rsidR="00955AF0">
              <w:t>20</w:t>
            </w:r>
            <w:r>
              <w:t xml:space="preserve"> to July 2</w:t>
            </w:r>
            <w:r w:rsidR="00955AF0">
              <w:t>3</w:t>
            </w:r>
          </w:p>
        </w:tc>
        <w:tc>
          <w:tcPr>
            <w:tcW w:w="1292" w:type="dxa"/>
          </w:tcPr>
          <w:p w14:paraId="60BDEC0A" w14:textId="77777777" w:rsidR="00E734B4" w:rsidRDefault="00E734B4">
            <w:r>
              <w:t>Closed</w:t>
            </w:r>
          </w:p>
        </w:tc>
        <w:tc>
          <w:tcPr>
            <w:tcW w:w="1151" w:type="dxa"/>
          </w:tcPr>
          <w:p w14:paraId="71153709" w14:textId="77777777" w:rsidR="00E734B4" w:rsidRDefault="00E734B4">
            <w:r>
              <w:t>Open</w:t>
            </w:r>
          </w:p>
        </w:tc>
        <w:tc>
          <w:tcPr>
            <w:tcW w:w="3159" w:type="dxa"/>
          </w:tcPr>
          <w:p w14:paraId="55ED5AB1" w14:textId="77777777" w:rsidR="00E734B4" w:rsidRDefault="00E734B4">
            <w:r>
              <w:t xml:space="preserve">Current </w:t>
            </w:r>
            <w:r w:rsidR="00456211">
              <w:t>d</w:t>
            </w:r>
            <w:r>
              <w:t>ate</w:t>
            </w:r>
          </w:p>
        </w:tc>
      </w:tr>
      <w:tr w:rsidR="00E734B4" w14:paraId="0D380343" w14:textId="77777777" w:rsidTr="00F835D1">
        <w:trPr>
          <w:trHeight w:val="242"/>
        </w:trPr>
        <w:tc>
          <w:tcPr>
            <w:tcW w:w="1627" w:type="dxa"/>
          </w:tcPr>
          <w:p w14:paraId="28AA498C" w14:textId="77777777" w:rsidR="00E734B4" w:rsidRDefault="00E734B4">
            <w:r>
              <w:t>General Ledger</w:t>
            </w:r>
          </w:p>
        </w:tc>
        <w:tc>
          <w:tcPr>
            <w:tcW w:w="2121" w:type="dxa"/>
          </w:tcPr>
          <w:p w14:paraId="27D43E93" w14:textId="5FCDDF2C" w:rsidR="00E734B4" w:rsidRDefault="00E734B4">
            <w:r>
              <w:t>July 1 to July 2</w:t>
            </w:r>
            <w:r w:rsidR="00955AF0">
              <w:t>2</w:t>
            </w:r>
          </w:p>
        </w:tc>
        <w:tc>
          <w:tcPr>
            <w:tcW w:w="1292" w:type="dxa"/>
          </w:tcPr>
          <w:p w14:paraId="14716885" w14:textId="77777777" w:rsidR="00E734B4" w:rsidRDefault="00E734B4">
            <w:r>
              <w:t>Open</w:t>
            </w:r>
          </w:p>
        </w:tc>
        <w:tc>
          <w:tcPr>
            <w:tcW w:w="1151" w:type="dxa"/>
          </w:tcPr>
          <w:p w14:paraId="5DC364FF" w14:textId="77777777" w:rsidR="00E734B4" w:rsidRDefault="00E734B4">
            <w:r>
              <w:t>Open</w:t>
            </w:r>
          </w:p>
        </w:tc>
        <w:tc>
          <w:tcPr>
            <w:tcW w:w="3159" w:type="dxa"/>
          </w:tcPr>
          <w:p w14:paraId="2C066AB2" w14:textId="1242B6FD" w:rsidR="00E734B4" w:rsidRDefault="00E734B4">
            <w:r>
              <w:t>June 30, 20</w:t>
            </w:r>
            <w:r w:rsidR="00C72296">
              <w:t>2</w:t>
            </w:r>
            <w:r w:rsidR="00955AF0">
              <w:t>1</w:t>
            </w:r>
          </w:p>
        </w:tc>
      </w:tr>
      <w:tr w:rsidR="00E734B4" w14:paraId="0C8D2209" w14:textId="77777777" w:rsidTr="00F835D1">
        <w:trPr>
          <w:trHeight w:val="242"/>
        </w:trPr>
        <w:tc>
          <w:tcPr>
            <w:tcW w:w="1627" w:type="dxa"/>
          </w:tcPr>
          <w:p w14:paraId="38E1D797" w14:textId="77777777" w:rsidR="00E734B4" w:rsidRDefault="00E734B4">
            <w:r>
              <w:t>Purchasing</w:t>
            </w:r>
          </w:p>
        </w:tc>
        <w:tc>
          <w:tcPr>
            <w:tcW w:w="2121" w:type="dxa"/>
          </w:tcPr>
          <w:p w14:paraId="4B1882D0" w14:textId="6BBC8F26" w:rsidR="00E734B4" w:rsidRDefault="00E734B4">
            <w:r>
              <w:t>July 1 to July 2</w:t>
            </w:r>
            <w:r w:rsidR="00955AF0">
              <w:t>2</w:t>
            </w:r>
          </w:p>
        </w:tc>
        <w:tc>
          <w:tcPr>
            <w:tcW w:w="1292" w:type="dxa"/>
          </w:tcPr>
          <w:p w14:paraId="065F3FEE" w14:textId="77777777" w:rsidR="00E734B4" w:rsidRDefault="00E734B4">
            <w:r>
              <w:t>Closed</w:t>
            </w:r>
          </w:p>
        </w:tc>
        <w:tc>
          <w:tcPr>
            <w:tcW w:w="1151" w:type="dxa"/>
          </w:tcPr>
          <w:p w14:paraId="0F244330" w14:textId="77777777" w:rsidR="00E734B4" w:rsidRDefault="00E734B4">
            <w:r>
              <w:t>Open</w:t>
            </w:r>
          </w:p>
        </w:tc>
        <w:tc>
          <w:tcPr>
            <w:tcW w:w="3159" w:type="dxa"/>
          </w:tcPr>
          <w:p w14:paraId="7D3244FA" w14:textId="77777777" w:rsidR="00E734B4" w:rsidRDefault="00456211">
            <w:r>
              <w:t>Current d</w:t>
            </w:r>
            <w:r w:rsidR="00E734B4">
              <w:t>ate</w:t>
            </w:r>
          </w:p>
        </w:tc>
      </w:tr>
    </w:tbl>
    <w:p w14:paraId="6FE9FF93" w14:textId="4D7D7205" w:rsidR="00F237FB" w:rsidRDefault="00AF34BB" w:rsidP="00E05306">
      <w:pPr>
        <w:pStyle w:val="Heading1"/>
        <w:spacing w:before="120"/>
      </w:pPr>
      <w:r>
        <w:t>F</w:t>
      </w:r>
      <w:r w:rsidR="00F835D1">
        <w:t>YE Queries</w:t>
      </w:r>
    </w:p>
    <w:p w14:paraId="608C0FDE" w14:textId="3322A3A6" w:rsidR="00E05306" w:rsidRPr="00E05306" w:rsidRDefault="00E05306" w:rsidP="00E05306">
      <w:pPr>
        <w:spacing w:after="120" w:line="240" w:lineRule="auto"/>
        <w:rPr>
          <w:b/>
          <w:bCs/>
          <w:u w:val="single"/>
        </w:rPr>
      </w:pPr>
      <w:r w:rsidRPr="00E05306">
        <w:rPr>
          <w:b/>
          <w:bCs/>
          <w:u w:val="single"/>
        </w:rPr>
        <w:t>In addition to the queries below, agencies are encouraged to use the GL Work Center and the AP Work Center to review outstanding SABHRS transactions for FY2</w:t>
      </w:r>
      <w:r w:rsidR="00955AF0">
        <w:rPr>
          <w:b/>
          <w:bCs/>
          <w:u w:val="single"/>
        </w:rPr>
        <w:t>1</w:t>
      </w:r>
      <w:r w:rsidRPr="00E05306">
        <w:rPr>
          <w:b/>
          <w:bCs/>
          <w:u w:val="sing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37FB" w14:paraId="026D8C1B" w14:textId="77777777" w:rsidTr="00F237FB">
        <w:trPr>
          <w:trHeight w:val="278"/>
        </w:trPr>
        <w:tc>
          <w:tcPr>
            <w:tcW w:w="4675" w:type="dxa"/>
            <w:shd w:val="clear" w:color="auto" w:fill="A6A6A6" w:themeFill="background1" w:themeFillShade="A6"/>
          </w:tcPr>
          <w:p w14:paraId="7EFE9446" w14:textId="77777777" w:rsidR="00F237FB" w:rsidRDefault="00F237FB" w:rsidP="00F237FB">
            <w:r w:rsidRPr="00F237FB">
              <w:rPr>
                <w:b/>
              </w:rPr>
              <w:t>Activity</w:t>
            </w:r>
          </w:p>
        </w:tc>
        <w:tc>
          <w:tcPr>
            <w:tcW w:w="4675" w:type="dxa"/>
            <w:shd w:val="clear" w:color="auto" w:fill="A6A6A6" w:themeFill="background1" w:themeFillShade="A6"/>
          </w:tcPr>
          <w:p w14:paraId="078B3499" w14:textId="77777777" w:rsidR="00F237FB" w:rsidRDefault="00F237FB" w:rsidP="00F237FB">
            <w:r w:rsidRPr="00F237FB">
              <w:rPr>
                <w:b/>
              </w:rPr>
              <w:t>Query</w:t>
            </w:r>
          </w:p>
        </w:tc>
      </w:tr>
      <w:tr w:rsidR="00F237FB" w14:paraId="07A716F6" w14:textId="77777777" w:rsidTr="00F237FB">
        <w:trPr>
          <w:trHeight w:val="278"/>
        </w:trPr>
        <w:tc>
          <w:tcPr>
            <w:tcW w:w="4675" w:type="dxa"/>
            <w:shd w:val="clear" w:color="auto" w:fill="auto"/>
          </w:tcPr>
          <w:p w14:paraId="3FA495F7" w14:textId="77777777" w:rsidR="00F237FB" w:rsidRPr="00F237FB" w:rsidRDefault="009F36A3" w:rsidP="00F237FB">
            <w:r>
              <w:t>Balance Sheet Account</w:t>
            </w:r>
          </w:p>
        </w:tc>
        <w:tc>
          <w:tcPr>
            <w:tcW w:w="4675" w:type="dxa"/>
            <w:shd w:val="clear" w:color="auto" w:fill="auto"/>
          </w:tcPr>
          <w:p w14:paraId="2819FA61" w14:textId="77777777" w:rsidR="00F237FB" w:rsidRPr="00F237FB" w:rsidRDefault="00FD6A91" w:rsidP="00F237FB">
            <w:r>
              <w:t>MTGLAFSD_FYE_BAD</w:t>
            </w:r>
            <w:r w:rsidR="00F237FB">
              <w:t>BAL_BALSHEET</w:t>
            </w:r>
          </w:p>
        </w:tc>
      </w:tr>
      <w:tr w:rsidR="00F237FB" w14:paraId="1F8EF37B" w14:textId="77777777" w:rsidTr="00F237FB">
        <w:trPr>
          <w:trHeight w:val="278"/>
        </w:trPr>
        <w:tc>
          <w:tcPr>
            <w:tcW w:w="4675" w:type="dxa"/>
            <w:shd w:val="clear" w:color="auto" w:fill="auto"/>
          </w:tcPr>
          <w:p w14:paraId="302885EE" w14:textId="77777777" w:rsidR="00F237FB" w:rsidRDefault="00456211" w:rsidP="00F237FB">
            <w:r>
              <w:t>Operating Statement A</w:t>
            </w:r>
            <w:r w:rsidR="009F36A3">
              <w:t>ccount</w:t>
            </w:r>
          </w:p>
        </w:tc>
        <w:tc>
          <w:tcPr>
            <w:tcW w:w="4675" w:type="dxa"/>
            <w:shd w:val="clear" w:color="auto" w:fill="auto"/>
          </w:tcPr>
          <w:p w14:paraId="1DA6B588" w14:textId="77777777" w:rsidR="00F237FB" w:rsidRPr="00F237FB" w:rsidRDefault="00FD6A91" w:rsidP="00F237FB">
            <w:r>
              <w:t>MTGLAFSD_FYE_BAD</w:t>
            </w:r>
            <w:r w:rsidR="00F237FB">
              <w:t>BAL_OPSTMT</w:t>
            </w:r>
          </w:p>
        </w:tc>
      </w:tr>
      <w:tr w:rsidR="00F237FB" w14:paraId="0315B91C" w14:textId="77777777" w:rsidTr="00F237FB">
        <w:trPr>
          <w:trHeight w:val="278"/>
        </w:trPr>
        <w:tc>
          <w:tcPr>
            <w:tcW w:w="4675" w:type="dxa"/>
            <w:shd w:val="clear" w:color="auto" w:fill="auto"/>
          </w:tcPr>
          <w:p w14:paraId="4A1F7DB0" w14:textId="77777777" w:rsidR="00F237FB" w:rsidRDefault="009F36A3" w:rsidP="00F237FB">
            <w:r>
              <w:t>Equity Account</w:t>
            </w:r>
          </w:p>
        </w:tc>
        <w:tc>
          <w:tcPr>
            <w:tcW w:w="4675" w:type="dxa"/>
            <w:shd w:val="clear" w:color="auto" w:fill="auto"/>
          </w:tcPr>
          <w:p w14:paraId="3525B822" w14:textId="77777777" w:rsidR="00F237FB" w:rsidRPr="00F237FB" w:rsidRDefault="00F237FB" w:rsidP="00F237FB">
            <w:r>
              <w:t>MTGLAFSD_FYE_BADBAL_FND_</w:t>
            </w:r>
            <w:r w:rsidR="00165F25">
              <w:t>E</w:t>
            </w:r>
            <w:r>
              <w:t>QUITY</w:t>
            </w:r>
          </w:p>
        </w:tc>
      </w:tr>
      <w:tr w:rsidR="00F237FB" w14:paraId="6DFC1F54" w14:textId="77777777" w:rsidTr="00F237FB">
        <w:trPr>
          <w:trHeight w:val="278"/>
        </w:trPr>
        <w:tc>
          <w:tcPr>
            <w:tcW w:w="4675" w:type="dxa"/>
            <w:shd w:val="clear" w:color="auto" w:fill="auto"/>
          </w:tcPr>
          <w:p w14:paraId="736B28F5" w14:textId="77777777" w:rsidR="00F237FB" w:rsidRDefault="00864619" w:rsidP="00F237FB">
            <w:r>
              <w:t>Account 1104 – Cash</w:t>
            </w:r>
          </w:p>
        </w:tc>
        <w:tc>
          <w:tcPr>
            <w:tcW w:w="4675" w:type="dxa"/>
            <w:shd w:val="clear" w:color="auto" w:fill="auto"/>
          </w:tcPr>
          <w:p w14:paraId="710F2B46" w14:textId="77777777" w:rsidR="00F237FB" w:rsidRPr="00F237FB" w:rsidRDefault="00FD6A91" w:rsidP="00F237FB">
            <w:r>
              <w:t>MTGHLAFSD_FYE_BAD</w:t>
            </w:r>
            <w:r w:rsidR="00F237FB">
              <w:t>BAL_1104</w:t>
            </w:r>
          </w:p>
        </w:tc>
      </w:tr>
      <w:tr w:rsidR="00FB51D2" w14:paraId="0902EBE7" w14:textId="77777777" w:rsidTr="00F237FB">
        <w:trPr>
          <w:trHeight w:val="278"/>
        </w:trPr>
        <w:tc>
          <w:tcPr>
            <w:tcW w:w="4675" w:type="dxa"/>
            <w:shd w:val="clear" w:color="auto" w:fill="auto"/>
          </w:tcPr>
          <w:p w14:paraId="7C4ABFF0" w14:textId="77777777" w:rsidR="00FB51D2" w:rsidRDefault="00FB51D2" w:rsidP="00F237FB">
            <w:r>
              <w:t>AM and GL Recon</w:t>
            </w:r>
          </w:p>
        </w:tc>
        <w:tc>
          <w:tcPr>
            <w:tcW w:w="4675" w:type="dxa"/>
            <w:shd w:val="clear" w:color="auto" w:fill="auto"/>
          </w:tcPr>
          <w:p w14:paraId="5AB26614" w14:textId="77777777" w:rsidR="00FB51D2" w:rsidRDefault="00FB51D2" w:rsidP="00F237FB">
            <w:r>
              <w:t>MTAM_GL_RECON</w:t>
            </w:r>
          </w:p>
        </w:tc>
      </w:tr>
      <w:tr w:rsidR="00FB51D2" w14:paraId="5A1DE41A" w14:textId="77777777" w:rsidTr="00F237FB">
        <w:trPr>
          <w:trHeight w:val="278"/>
        </w:trPr>
        <w:tc>
          <w:tcPr>
            <w:tcW w:w="4675" w:type="dxa"/>
            <w:shd w:val="clear" w:color="auto" w:fill="auto"/>
          </w:tcPr>
          <w:p w14:paraId="5020C034" w14:textId="77777777" w:rsidR="00FB51D2" w:rsidRDefault="00FB51D2" w:rsidP="00F237FB">
            <w:r>
              <w:t>Gov Fund Profile Errors</w:t>
            </w:r>
          </w:p>
        </w:tc>
        <w:tc>
          <w:tcPr>
            <w:tcW w:w="4675" w:type="dxa"/>
            <w:shd w:val="clear" w:color="auto" w:fill="auto"/>
          </w:tcPr>
          <w:p w14:paraId="137A6914" w14:textId="77777777" w:rsidR="00FB51D2" w:rsidRDefault="00FB51D2" w:rsidP="00F237FB">
            <w:r>
              <w:t>MTAM_GOV_STATE_BKERRORS</w:t>
            </w:r>
          </w:p>
        </w:tc>
      </w:tr>
      <w:tr w:rsidR="00FB51D2" w14:paraId="431893C5" w14:textId="77777777" w:rsidTr="00F237FB">
        <w:trPr>
          <w:trHeight w:val="278"/>
        </w:trPr>
        <w:tc>
          <w:tcPr>
            <w:tcW w:w="4675" w:type="dxa"/>
            <w:shd w:val="clear" w:color="auto" w:fill="auto"/>
          </w:tcPr>
          <w:p w14:paraId="47C4B05B" w14:textId="77777777" w:rsidR="00FB51D2" w:rsidRDefault="00FB51D2" w:rsidP="00F237FB">
            <w:r>
              <w:t>Prop Fund Profile Errors</w:t>
            </w:r>
          </w:p>
        </w:tc>
        <w:tc>
          <w:tcPr>
            <w:tcW w:w="4675" w:type="dxa"/>
            <w:shd w:val="clear" w:color="auto" w:fill="auto"/>
          </w:tcPr>
          <w:p w14:paraId="5FAE7703" w14:textId="77777777" w:rsidR="00FB51D2" w:rsidRDefault="00FB51D2" w:rsidP="00F237FB">
            <w:r>
              <w:t>MTAM_PROP_GOV_BKERRORS</w:t>
            </w:r>
          </w:p>
        </w:tc>
      </w:tr>
      <w:tr w:rsidR="00FB51D2" w14:paraId="0A1D534A" w14:textId="77777777" w:rsidTr="00F237FB">
        <w:trPr>
          <w:trHeight w:val="278"/>
        </w:trPr>
        <w:tc>
          <w:tcPr>
            <w:tcW w:w="4675" w:type="dxa"/>
            <w:shd w:val="clear" w:color="auto" w:fill="auto"/>
          </w:tcPr>
          <w:p w14:paraId="20E9B2B4" w14:textId="77777777" w:rsidR="00FB51D2" w:rsidRDefault="00FB51D2" w:rsidP="00F237FB">
            <w:r>
              <w:t>Posted Vouchers Not Paid</w:t>
            </w:r>
          </w:p>
        </w:tc>
        <w:tc>
          <w:tcPr>
            <w:tcW w:w="4675" w:type="dxa"/>
            <w:shd w:val="clear" w:color="auto" w:fill="auto"/>
          </w:tcPr>
          <w:p w14:paraId="40795777" w14:textId="77777777" w:rsidR="00FB51D2" w:rsidRDefault="00FB51D2" w:rsidP="00F237FB">
            <w:r>
              <w:t>MTAPAFSD_POSTED_VCHRS_NOT_PAID</w:t>
            </w:r>
          </w:p>
        </w:tc>
      </w:tr>
      <w:tr w:rsidR="00FB51D2" w14:paraId="651E46E4" w14:textId="77777777" w:rsidTr="00F237FB">
        <w:trPr>
          <w:trHeight w:val="278"/>
        </w:trPr>
        <w:tc>
          <w:tcPr>
            <w:tcW w:w="4675" w:type="dxa"/>
            <w:shd w:val="clear" w:color="auto" w:fill="auto"/>
          </w:tcPr>
          <w:p w14:paraId="2210F64E" w14:textId="77777777" w:rsidR="00FB51D2" w:rsidRDefault="00FB51D2" w:rsidP="00F237FB">
            <w:r>
              <w:t>Vouchers w Not Valid Status</w:t>
            </w:r>
          </w:p>
        </w:tc>
        <w:tc>
          <w:tcPr>
            <w:tcW w:w="4675" w:type="dxa"/>
            <w:shd w:val="clear" w:color="auto" w:fill="auto"/>
          </w:tcPr>
          <w:p w14:paraId="7FC5DF8E" w14:textId="77777777" w:rsidR="00FB51D2" w:rsidRDefault="00FB51D2" w:rsidP="00F237FB">
            <w:r>
              <w:t>MTAPAFSD_BUDGET_STATUS_NOT_V</w:t>
            </w:r>
          </w:p>
        </w:tc>
      </w:tr>
      <w:tr w:rsidR="0098445C" w14:paraId="5D0EDC9A" w14:textId="77777777" w:rsidTr="00F237FB">
        <w:trPr>
          <w:trHeight w:val="278"/>
        </w:trPr>
        <w:tc>
          <w:tcPr>
            <w:tcW w:w="4675" w:type="dxa"/>
            <w:shd w:val="clear" w:color="auto" w:fill="auto"/>
          </w:tcPr>
          <w:p w14:paraId="6C399C48" w14:textId="0A141FFE" w:rsidR="0098445C" w:rsidRDefault="0098445C" w:rsidP="00F237FB">
            <w:r>
              <w:t>Voucher Failing Budget Checking</w:t>
            </w:r>
          </w:p>
        </w:tc>
        <w:tc>
          <w:tcPr>
            <w:tcW w:w="4675" w:type="dxa"/>
            <w:shd w:val="clear" w:color="auto" w:fill="auto"/>
          </w:tcPr>
          <w:p w14:paraId="792D61D3" w14:textId="7464BD48" w:rsidR="0098445C" w:rsidRDefault="0098445C" w:rsidP="00F237FB">
            <w:r>
              <w:t>MTAP_INSUFFICIENT_APPROP</w:t>
            </w:r>
          </w:p>
        </w:tc>
      </w:tr>
      <w:tr w:rsidR="0098445C" w14:paraId="35F95B1B" w14:textId="77777777" w:rsidTr="00F237FB">
        <w:trPr>
          <w:trHeight w:val="278"/>
        </w:trPr>
        <w:tc>
          <w:tcPr>
            <w:tcW w:w="4675" w:type="dxa"/>
            <w:shd w:val="clear" w:color="auto" w:fill="auto"/>
          </w:tcPr>
          <w:p w14:paraId="4EC84DBA" w14:textId="59A1A640" w:rsidR="0098445C" w:rsidRDefault="0098445C" w:rsidP="00F237FB">
            <w:r>
              <w:t>Closed Vouchers Failing Budget Check</w:t>
            </w:r>
          </w:p>
        </w:tc>
        <w:tc>
          <w:tcPr>
            <w:tcW w:w="4675" w:type="dxa"/>
            <w:shd w:val="clear" w:color="auto" w:fill="auto"/>
          </w:tcPr>
          <w:p w14:paraId="755AC30A" w14:textId="6D85D1B7" w:rsidR="0098445C" w:rsidRDefault="0098445C" w:rsidP="00F237FB">
            <w:r>
              <w:t>MTAP_CLOSURE_BUDGET_ERRORS</w:t>
            </w:r>
          </w:p>
        </w:tc>
      </w:tr>
      <w:tr w:rsidR="00A77949" w14:paraId="12C31889" w14:textId="77777777" w:rsidTr="00F237FB">
        <w:trPr>
          <w:trHeight w:val="278"/>
        </w:trPr>
        <w:tc>
          <w:tcPr>
            <w:tcW w:w="4675" w:type="dxa"/>
            <w:shd w:val="clear" w:color="auto" w:fill="auto"/>
          </w:tcPr>
          <w:p w14:paraId="0F640347" w14:textId="2E20052F" w:rsidR="00A77949" w:rsidRDefault="00A77949" w:rsidP="00F237FB">
            <w:r>
              <w:t>Open Voucher that Have Not Been Paid</w:t>
            </w:r>
          </w:p>
        </w:tc>
        <w:tc>
          <w:tcPr>
            <w:tcW w:w="4675" w:type="dxa"/>
            <w:shd w:val="clear" w:color="auto" w:fill="auto"/>
          </w:tcPr>
          <w:p w14:paraId="0ADE71DE" w14:textId="4613107C" w:rsidR="00A77949" w:rsidRDefault="00A77949" w:rsidP="00F237FB">
            <w:r>
              <w:t>MTAP_VOUCHERS_NOT_PAID</w:t>
            </w:r>
          </w:p>
        </w:tc>
      </w:tr>
      <w:tr w:rsidR="00365211" w14:paraId="5976A0E4" w14:textId="77777777" w:rsidTr="006E4B5E">
        <w:trPr>
          <w:trHeight w:val="278"/>
        </w:trPr>
        <w:tc>
          <w:tcPr>
            <w:tcW w:w="4675" w:type="dxa"/>
            <w:shd w:val="clear" w:color="auto" w:fill="auto"/>
          </w:tcPr>
          <w:p w14:paraId="55927FDB" w14:textId="77777777" w:rsidR="00365211" w:rsidRDefault="00365211" w:rsidP="00A84F16">
            <w:r>
              <w:t>FYE Cash Balance</w:t>
            </w:r>
          </w:p>
        </w:tc>
        <w:tc>
          <w:tcPr>
            <w:tcW w:w="4675" w:type="dxa"/>
            <w:shd w:val="clear" w:color="auto" w:fill="auto"/>
          </w:tcPr>
          <w:p w14:paraId="703FC507" w14:textId="77777777" w:rsidR="00365211" w:rsidRPr="00A84F16" w:rsidRDefault="00365211" w:rsidP="006E4B5E">
            <w:r>
              <w:t>MTGL_FYE_CASH_BALANCE</w:t>
            </w:r>
          </w:p>
        </w:tc>
      </w:tr>
      <w:tr w:rsidR="00365211" w14:paraId="31F41ABD" w14:textId="77777777" w:rsidTr="006E4B5E">
        <w:trPr>
          <w:trHeight w:val="278"/>
        </w:trPr>
        <w:tc>
          <w:tcPr>
            <w:tcW w:w="4675" w:type="dxa"/>
            <w:shd w:val="clear" w:color="auto" w:fill="auto"/>
          </w:tcPr>
          <w:p w14:paraId="370734B4" w14:textId="77777777" w:rsidR="00365211" w:rsidRDefault="00365211" w:rsidP="00A84F16">
            <w:r>
              <w:t>Appropriation Balances</w:t>
            </w:r>
          </w:p>
        </w:tc>
        <w:tc>
          <w:tcPr>
            <w:tcW w:w="4675" w:type="dxa"/>
            <w:shd w:val="clear" w:color="auto" w:fill="auto"/>
          </w:tcPr>
          <w:p w14:paraId="2A7DAA1E" w14:textId="77777777" w:rsidR="00365211" w:rsidRDefault="00FD6A91" w:rsidP="006E4B5E">
            <w:r>
              <w:t>MTGL_APPROP_BUDGETS_AND_</w:t>
            </w:r>
            <w:r w:rsidR="00365211">
              <w:t>BAL</w:t>
            </w:r>
          </w:p>
        </w:tc>
      </w:tr>
      <w:tr w:rsidR="00365211" w14:paraId="6A9C695D" w14:textId="77777777" w:rsidTr="0019493E">
        <w:trPr>
          <w:trHeight w:val="278"/>
        </w:trPr>
        <w:tc>
          <w:tcPr>
            <w:tcW w:w="4675" w:type="dxa"/>
            <w:vMerge w:val="restart"/>
            <w:shd w:val="clear" w:color="auto" w:fill="auto"/>
          </w:tcPr>
          <w:p w14:paraId="7CB29654" w14:textId="77777777" w:rsidR="00365211" w:rsidRDefault="00365211" w:rsidP="00456211">
            <w:r>
              <w:t>Deposit Review</w:t>
            </w:r>
          </w:p>
        </w:tc>
        <w:tc>
          <w:tcPr>
            <w:tcW w:w="4675" w:type="dxa"/>
            <w:shd w:val="clear" w:color="auto" w:fill="auto"/>
          </w:tcPr>
          <w:p w14:paraId="6A3E1444" w14:textId="77777777" w:rsidR="00365211" w:rsidRDefault="00756931" w:rsidP="0019493E">
            <w:r>
              <w:t>MTAR_DIRJRNL_UNPOST</w:t>
            </w:r>
          </w:p>
        </w:tc>
      </w:tr>
      <w:tr w:rsidR="00365211" w14:paraId="65E084E7" w14:textId="77777777" w:rsidTr="006E4B5E">
        <w:trPr>
          <w:trHeight w:val="278"/>
        </w:trPr>
        <w:tc>
          <w:tcPr>
            <w:tcW w:w="4675" w:type="dxa"/>
            <w:vMerge/>
            <w:shd w:val="clear" w:color="auto" w:fill="auto"/>
          </w:tcPr>
          <w:p w14:paraId="0D830DDF" w14:textId="77777777" w:rsidR="00365211" w:rsidRDefault="00365211" w:rsidP="00A84F16"/>
        </w:tc>
        <w:tc>
          <w:tcPr>
            <w:tcW w:w="4675" w:type="dxa"/>
            <w:shd w:val="clear" w:color="auto" w:fill="auto"/>
          </w:tcPr>
          <w:p w14:paraId="77B7EBDD" w14:textId="77777777" w:rsidR="00365211" w:rsidRDefault="00756931" w:rsidP="006E4B5E">
            <w:r>
              <w:t>MTAR_BU_BCM_ERRORS</w:t>
            </w:r>
          </w:p>
        </w:tc>
      </w:tr>
      <w:tr w:rsidR="00A84F16" w14:paraId="22B02F0C" w14:textId="77777777" w:rsidTr="006E4B5E">
        <w:trPr>
          <w:trHeight w:val="278"/>
        </w:trPr>
        <w:tc>
          <w:tcPr>
            <w:tcW w:w="4675" w:type="dxa"/>
            <w:vMerge w:val="restart"/>
            <w:shd w:val="clear" w:color="auto" w:fill="auto"/>
          </w:tcPr>
          <w:p w14:paraId="7157896D" w14:textId="77777777" w:rsidR="00A84F16" w:rsidRDefault="00A84F16" w:rsidP="00A84F16">
            <w:r>
              <w:t>Trial Balance Review</w:t>
            </w:r>
          </w:p>
        </w:tc>
        <w:tc>
          <w:tcPr>
            <w:tcW w:w="4675" w:type="dxa"/>
            <w:shd w:val="clear" w:color="auto" w:fill="auto"/>
          </w:tcPr>
          <w:p w14:paraId="46400FEF" w14:textId="77777777" w:rsidR="00A84F16" w:rsidRDefault="00A84F16" w:rsidP="006E4B5E">
            <w:r w:rsidRPr="00A84F16">
              <w:t>MTGL_TB_FUND_CHOOSE_LEDGER</w:t>
            </w:r>
          </w:p>
        </w:tc>
      </w:tr>
      <w:tr w:rsidR="00A84F16" w14:paraId="03114EF7" w14:textId="77777777" w:rsidTr="00F237FB">
        <w:trPr>
          <w:trHeight w:val="278"/>
        </w:trPr>
        <w:tc>
          <w:tcPr>
            <w:tcW w:w="4675" w:type="dxa"/>
            <w:vMerge/>
            <w:shd w:val="clear" w:color="auto" w:fill="auto"/>
          </w:tcPr>
          <w:p w14:paraId="5C09B66D" w14:textId="77777777" w:rsidR="00A84F16" w:rsidRDefault="00A84F16" w:rsidP="00F237FB"/>
        </w:tc>
        <w:tc>
          <w:tcPr>
            <w:tcW w:w="4675" w:type="dxa"/>
            <w:shd w:val="clear" w:color="auto" w:fill="auto"/>
          </w:tcPr>
          <w:p w14:paraId="7BA84FFB" w14:textId="77777777" w:rsidR="00A84F16" w:rsidRDefault="00A84F16" w:rsidP="00F237FB">
            <w:r w:rsidRPr="00A84F16">
              <w:t>MTGL_TB_FUND_ACT_ENTWIDE_COMB</w:t>
            </w:r>
          </w:p>
        </w:tc>
      </w:tr>
    </w:tbl>
    <w:p w14:paraId="4068E5AF" w14:textId="77777777" w:rsidR="00A60D03" w:rsidRDefault="00A60D03" w:rsidP="00E05306">
      <w:pPr>
        <w:pStyle w:val="Heading1"/>
        <w:spacing w:before="120"/>
      </w:pPr>
      <w:r>
        <w:t>SAB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1807"/>
        <w:gridCol w:w="1890"/>
        <w:gridCol w:w="3283"/>
      </w:tblGrid>
      <w:tr w:rsidR="00C17CDF" w14:paraId="5F62C345" w14:textId="7D2957A0" w:rsidTr="002472FB">
        <w:tc>
          <w:tcPr>
            <w:tcW w:w="2328" w:type="dxa"/>
            <w:shd w:val="clear" w:color="auto" w:fill="A6A6A6" w:themeFill="background1" w:themeFillShade="A6"/>
          </w:tcPr>
          <w:p w14:paraId="134048B0" w14:textId="77777777" w:rsidR="00C17CDF" w:rsidRPr="00456211" w:rsidRDefault="00C17CDF" w:rsidP="0061363B">
            <w:pPr>
              <w:rPr>
                <w:b/>
              </w:rPr>
            </w:pPr>
            <w:r w:rsidRPr="00456211">
              <w:rPr>
                <w:b/>
              </w:rPr>
              <w:t>SAB Department</w:t>
            </w:r>
          </w:p>
        </w:tc>
        <w:tc>
          <w:tcPr>
            <w:tcW w:w="1807" w:type="dxa"/>
            <w:shd w:val="clear" w:color="auto" w:fill="A6A6A6" w:themeFill="background1" w:themeFillShade="A6"/>
          </w:tcPr>
          <w:p w14:paraId="109019DF" w14:textId="77777777" w:rsidR="00C17CDF" w:rsidRPr="00456211" w:rsidRDefault="00C17CDF" w:rsidP="0061363B">
            <w:pPr>
              <w:rPr>
                <w:b/>
              </w:rPr>
            </w:pPr>
            <w:r w:rsidRPr="00456211">
              <w:rPr>
                <w:b/>
              </w:rPr>
              <w:t>Phone</w:t>
            </w:r>
          </w:p>
        </w:tc>
        <w:tc>
          <w:tcPr>
            <w:tcW w:w="1890" w:type="dxa"/>
            <w:shd w:val="clear" w:color="auto" w:fill="A6A6A6" w:themeFill="background1" w:themeFillShade="A6"/>
          </w:tcPr>
          <w:p w14:paraId="033D3D3B" w14:textId="77777777" w:rsidR="00C17CDF" w:rsidRPr="00456211" w:rsidRDefault="00C17CDF" w:rsidP="0061363B">
            <w:pPr>
              <w:rPr>
                <w:b/>
              </w:rPr>
            </w:pPr>
            <w:r w:rsidRPr="00456211">
              <w:rPr>
                <w:b/>
              </w:rPr>
              <w:t>Module</w:t>
            </w:r>
          </w:p>
        </w:tc>
        <w:tc>
          <w:tcPr>
            <w:tcW w:w="3283" w:type="dxa"/>
            <w:shd w:val="clear" w:color="auto" w:fill="A6A6A6" w:themeFill="background1" w:themeFillShade="A6"/>
          </w:tcPr>
          <w:p w14:paraId="36139687" w14:textId="37F2BFDD" w:rsidR="00C17CDF" w:rsidRPr="00456211" w:rsidRDefault="00C17CDF" w:rsidP="0061363B">
            <w:pPr>
              <w:rPr>
                <w:b/>
              </w:rPr>
            </w:pPr>
            <w:r>
              <w:rPr>
                <w:b/>
              </w:rPr>
              <w:t>ServiceNow Catalog</w:t>
            </w:r>
          </w:p>
        </w:tc>
      </w:tr>
      <w:tr w:rsidR="00C17CDF" w14:paraId="75E7CBAB" w14:textId="28828732" w:rsidTr="002472FB">
        <w:tc>
          <w:tcPr>
            <w:tcW w:w="2328" w:type="dxa"/>
          </w:tcPr>
          <w:p w14:paraId="6AEA08CE" w14:textId="3BCEB29E" w:rsidR="00C17CDF" w:rsidRDefault="002472FB" w:rsidP="0061363B">
            <w:r>
              <w:t>SAFRS</w:t>
            </w:r>
          </w:p>
        </w:tc>
        <w:tc>
          <w:tcPr>
            <w:tcW w:w="1807" w:type="dxa"/>
          </w:tcPr>
          <w:p w14:paraId="2C427917" w14:textId="472891D5" w:rsidR="00C17CDF" w:rsidRDefault="00C17CDF" w:rsidP="0061363B">
            <w:r>
              <w:t>444-3092</w:t>
            </w:r>
          </w:p>
        </w:tc>
        <w:tc>
          <w:tcPr>
            <w:tcW w:w="1890" w:type="dxa"/>
          </w:tcPr>
          <w:p w14:paraId="0D2C41DF" w14:textId="77777777" w:rsidR="00C17CDF" w:rsidRDefault="00C17CDF" w:rsidP="0061363B">
            <w:r>
              <w:t>GL and AM</w:t>
            </w:r>
          </w:p>
        </w:tc>
        <w:tc>
          <w:tcPr>
            <w:tcW w:w="3283" w:type="dxa"/>
          </w:tcPr>
          <w:p w14:paraId="32894DF3" w14:textId="6B7A9960" w:rsidR="00C17CDF" w:rsidRDefault="0009085A" w:rsidP="0061363B">
            <w:hyperlink r:id="rId10" w:history="1">
              <w:r w:rsidR="002472FB">
                <w:rPr>
                  <w:rStyle w:val="Hyperlink"/>
                </w:rPr>
                <w:t>ServiceNow Account</w:t>
              </w:r>
              <w:r w:rsidR="002472FB">
                <w:rPr>
                  <w:rStyle w:val="Hyperlink"/>
                </w:rPr>
                <w:t>i</w:t>
              </w:r>
              <w:r w:rsidR="002472FB">
                <w:rPr>
                  <w:rStyle w:val="Hyperlink"/>
                </w:rPr>
                <w:t>ng Requests</w:t>
              </w:r>
            </w:hyperlink>
          </w:p>
        </w:tc>
      </w:tr>
      <w:tr w:rsidR="00C17CDF" w14:paraId="7B6B67EC" w14:textId="58803360" w:rsidTr="002472FB">
        <w:tc>
          <w:tcPr>
            <w:tcW w:w="2328" w:type="dxa"/>
          </w:tcPr>
          <w:p w14:paraId="587D6025" w14:textId="77777777" w:rsidR="00C17CDF" w:rsidRDefault="00C17CDF" w:rsidP="0061363B">
            <w:r>
              <w:t>Treasury</w:t>
            </w:r>
          </w:p>
        </w:tc>
        <w:tc>
          <w:tcPr>
            <w:tcW w:w="1807" w:type="dxa"/>
          </w:tcPr>
          <w:p w14:paraId="5A9DF894" w14:textId="77777777" w:rsidR="00C17CDF" w:rsidRDefault="00C17CDF" w:rsidP="0061363B">
            <w:r>
              <w:t>444-4579</w:t>
            </w:r>
          </w:p>
        </w:tc>
        <w:tc>
          <w:tcPr>
            <w:tcW w:w="1890" w:type="dxa"/>
          </w:tcPr>
          <w:p w14:paraId="7956363B" w14:textId="77777777" w:rsidR="00C17CDF" w:rsidRDefault="00C17CDF" w:rsidP="0061363B">
            <w:r>
              <w:t>AR</w:t>
            </w:r>
          </w:p>
        </w:tc>
        <w:tc>
          <w:tcPr>
            <w:tcW w:w="3283" w:type="dxa"/>
          </w:tcPr>
          <w:p w14:paraId="493FCA62" w14:textId="74B3855D" w:rsidR="00C17CDF" w:rsidRDefault="0009085A" w:rsidP="0061363B">
            <w:hyperlink r:id="rId11" w:history="1">
              <w:r w:rsidR="002472FB">
                <w:rPr>
                  <w:rStyle w:val="Hyperlink"/>
                </w:rPr>
                <w:t>ServiceNow Treasury Reque</w:t>
              </w:r>
              <w:r w:rsidR="002472FB">
                <w:rPr>
                  <w:rStyle w:val="Hyperlink"/>
                </w:rPr>
                <w:t>s</w:t>
              </w:r>
              <w:r w:rsidR="002472FB">
                <w:rPr>
                  <w:rStyle w:val="Hyperlink"/>
                </w:rPr>
                <w:t>ts</w:t>
              </w:r>
            </w:hyperlink>
          </w:p>
        </w:tc>
      </w:tr>
      <w:tr w:rsidR="00C17CDF" w14:paraId="24380D4F" w14:textId="2F43E9A5" w:rsidTr="002472FB">
        <w:tc>
          <w:tcPr>
            <w:tcW w:w="2328" w:type="dxa"/>
          </w:tcPr>
          <w:p w14:paraId="627EB78D" w14:textId="77777777" w:rsidR="00C17CDF" w:rsidRDefault="00C17CDF" w:rsidP="0061363B">
            <w:r>
              <w:t>Warrant Writer</w:t>
            </w:r>
          </w:p>
        </w:tc>
        <w:tc>
          <w:tcPr>
            <w:tcW w:w="1807" w:type="dxa"/>
          </w:tcPr>
          <w:p w14:paraId="70FC6A8C" w14:textId="77777777" w:rsidR="00C17CDF" w:rsidRDefault="00C17CDF" w:rsidP="0061363B">
            <w:r>
              <w:t>444-3092</w:t>
            </w:r>
          </w:p>
        </w:tc>
        <w:tc>
          <w:tcPr>
            <w:tcW w:w="1890" w:type="dxa"/>
          </w:tcPr>
          <w:p w14:paraId="1E906324" w14:textId="77777777" w:rsidR="00C17CDF" w:rsidRDefault="00C17CDF" w:rsidP="0061363B">
            <w:r>
              <w:t>AP</w:t>
            </w:r>
          </w:p>
        </w:tc>
        <w:tc>
          <w:tcPr>
            <w:tcW w:w="3283" w:type="dxa"/>
          </w:tcPr>
          <w:p w14:paraId="5B6722D3" w14:textId="0D14C40C" w:rsidR="00C17CDF" w:rsidRDefault="0009085A" w:rsidP="0061363B">
            <w:hyperlink r:id="rId12" w:history="1">
              <w:r w:rsidR="002472FB">
                <w:rPr>
                  <w:rStyle w:val="Hyperlink"/>
                </w:rPr>
                <w:t>ServiceNow Pay</w:t>
              </w:r>
              <w:r w:rsidR="002472FB">
                <w:rPr>
                  <w:rStyle w:val="Hyperlink"/>
                </w:rPr>
                <w:t>m</w:t>
              </w:r>
              <w:r w:rsidR="002472FB">
                <w:rPr>
                  <w:rStyle w:val="Hyperlink"/>
                </w:rPr>
                <w:t>ent Requests</w:t>
              </w:r>
            </w:hyperlink>
          </w:p>
        </w:tc>
      </w:tr>
    </w:tbl>
    <w:p w14:paraId="1E0630A6" w14:textId="77777777" w:rsidR="00A60D03" w:rsidRDefault="00A60D03" w:rsidP="00E05306">
      <w:pPr>
        <w:pStyle w:val="Heading1"/>
        <w:spacing w:before="120"/>
      </w:pPr>
      <w:r>
        <w:t>SAB Website Links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205"/>
      </w:tblGrid>
      <w:tr w:rsidR="000577E4" w14:paraId="3536CC59" w14:textId="77777777" w:rsidTr="000577E4">
        <w:tc>
          <w:tcPr>
            <w:tcW w:w="3145" w:type="dxa"/>
            <w:shd w:val="clear" w:color="auto" w:fill="A6A6A6" w:themeFill="background1" w:themeFillShade="A6"/>
          </w:tcPr>
          <w:p w14:paraId="6E85134A" w14:textId="77777777" w:rsidR="0061363B" w:rsidRPr="00456211" w:rsidRDefault="0061363B" w:rsidP="0061363B">
            <w:pPr>
              <w:rPr>
                <w:b/>
              </w:rPr>
            </w:pPr>
            <w:r w:rsidRPr="00456211">
              <w:rPr>
                <w:b/>
              </w:rPr>
              <w:t>Topic</w:t>
            </w:r>
          </w:p>
        </w:tc>
        <w:tc>
          <w:tcPr>
            <w:tcW w:w="6205" w:type="dxa"/>
            <w:shd w:val="clear" w:color="auto" w:fill="A6A6A6" w:themeFill="background1" w:themeFillShade="A6"/>
          </w:tcPr>
          <w:p w14:paraId="0241E690" w14:textId="77777777" w:rsidR="0061363B" w:rsidRPr="00456211" w:rsidRDefault="0061363B" w:rsidP="0061363B">
            <w:pPr>
              <w:rPr>
                <w:b/>
              </w:rPr>
            </w:pPr>
            <w:r w:rsidRPr="00456211">
              <w:rPr>
                <w:b/>
              </w:rPr>
              <w:t>URL</w:t>
            </w:r>
          </w:p>
        </w:tc>
      </w:tr>
      <w:tr w:rsidR="00456211" w14:paraId="48A6374B" w14:textId="77777777" w:rsidTr="000577E4">
        <w:tc>
          <w:tcPr>
            <w:tcW w:w="3145" w:type="dxa"/>
          </w:tcPr>
          <w:p w14:paraId="124A485B" w14:textId="77777777" w:rsidR="00456211" w:rsidRDefault="0018569E" w:rsidP="00A03805">
            <w:r>
              <w:t>F</w:t>
            </w:r>
            <w:r w:rsidR="00A03805">
              <w:t xml:space="preserve">iscal </w:t>
            </w:r>
            <w:r>
              <w:t>Y</w:t>
            </w:r>
            <w:r w:rsidR="00A03805">
              <w:t>ear-end</w:t>
            </w:r>
            <w:r>
              <w:t xml:space="preserve"> Training S</w:t>
            </w:r>
            <w:r w:rsidR="00456211">
              <w:t>lides</w:t>
            </w:r>
          </w:p>
        </w:tc>
        <w:tc>
          <w:tcPr>
            <w:tcW w:w="6205" w:type="dxa"/>
          </w:tcPr>
          <w:p w14:paraId="46C68341" w14:textId="0298A708" w:rsidR="00456211" w:rsidRDefault="0009085A" w:rsidP="0061363B">
            <w:hyperlink r:id="rId13" w:history="1">
              <w:r w:rsidR="00456211" w:rsidRPr="00CB1162">
                <w:rPr>
                  <w:rStyle w:val="Hyperlink"/>
                </w:rPr>
                <w:t>http://sfsd.mt.gov/SAB/FYE</w:t>
              </w:r>
            </w:hyperlink>
          </w:p>
        </w:tc>
      </w:tr>
      <w:tr w:rsidR="0061363B" w14:paraId="547FBBCB" w14:textId="77777777" w:rsidTr="000577E4">
        <w:tc>
          <w:tcPr>
            <w:tcW w:w="3145" w:type="dxa"/>
          </w:tcPr>
          <w:p w14:paraId="2BA41A8E" w14:textId="77777777" w:rsidR="0061363B" w:rsidRDefault="0061363B" w:rsidP="0061363B">
            <w:r>
              <w:t>Accounting Forms</w:t>
            </w:r>
          </w:p>
        </w:tc>
        <w:tc>
          <w:tcPr>
            <w:tcW w:w="6205" w:type="dxa"/>
          </w:tcPr>
          <w:p w14:paraId="519B790D" w14:textId="55318270" w:rsidR="0061363B" w:rsidRDefault="0009085A" w:rsidP="0061363B">
            <w:hyperlink r:id="rId14" w:history="1">
              <w:r w:rsidR="002472FB">
                <w:rPr>
                  <w:rStyle w:val="Hyperlink"/>
                </w:rPr>
                <w:t>ServiceNow</w:t>
              </w:r>
            </w:hyperlink>
          </w:p>
        </w:tc>
      </w:tr>
      <w:tr w:rsidR="0061363B" w14:paraId="17A063CD" w14:textId="77777777" w:rsidTr="000577E4">
        <w:tc>
          <w:tcPr>
            <w:tcW w:w="3145" w:type="dxa"/>
          </w:tcPr>
          <w:p w14:paraId="43542CF1" w14:textId="77777777" w:rsidR="0061363B" w:rsidRDefault="00456211" w:rsidP="0061363B">
            <w:r>
              <w:t>MOM Policies</w:t>
            </w:r>
          </w:p>
        </w:tc>
        <w:tc>
          <w:tcPr>
            <w:tcW w:w="6205" w:type="dxa"/>
          </w:tcPr>
          <w:p w14:paraId="0F4CFD5C" w14:textId="43A398DE" w:rsidR="0061363B" w:rsidRDefault="00955AF0" w:rsidP="0061363B">
            <w:hyperlink r:id="rId15" w:history="1">
              <w:r w:rsidRPr="00955AF0">
                <w:rPr>
                  <w:rStyle w:val="Hyperlink"/>
                </w:rPr>
                <w:t>ServiceNow MOM Policies</w:t>
              </w:r>
            </w:hyperlink>
            <w:r>
              <w:t xml:space="preserve"> (Use “SAB” in search bar)</w:t>
            </w:r>
          </w:p>
        </w:tc>
      </w:tr>
      <w:tr w:rsidR="0061363B" w14:paraId="0424237E" w14:textId="77777777" w:rsidTr="000577E4">
        <w:tc>
          <w:tcPr>
            <w:tcW w:w="3145" w:type="dxa"/>
          </w:tcPr>
          <w:p w14:paraId="7F217DD8" w14:textId="77777777" w:rsidR="0061363B" w:rsidRDefault="0061363B" w:rsidP="0061363B">
            <w:r>
              <w:t>SABHRS Documentation</w:t>
            </w:r>
          </w:p>
        </w:tc>
        <w:tc>
          <w:tcPr>
            <w:tcW w:w="6205" w:type="dxa"/>
          </w:tcPr>
          <w:p w14:paraId="42E5C785" w14:textId="1CDD5C9D" w:rsidR="0061363B" w:rsidRPr="0061363B" w:rsidRDefault="00955AF0" w:rsidP="0061363B">
            <w:hyperlink r:id="rId16" w:history="1">
              <w:r w:rsidRPr="00955AF0">
                <w:rPr>
                  <w:rStyle w:val="Hyperlink"/>
                </w:rPr>
                <w:t>ServiceNow SABHRS Documentation</w:t>
              </w:r>
            </w:hyperlink>
            <w:r>
              <w:t xml:space="preserve"> (Use search bar for keywords)</w:t>
            </w:r>
          </w:p>
        </w:tc>
      </w:tr>
    </w:tbl>
    <w:p w14:paraId="331A4B72" w14:textId="77777777" w:rsidR="00F835D1" w:rsidRPr="00F835D1" w:rsidRDefault="00F835D1" w:rsidP="001E4307"/>
    <w:sectPr w:rsidR="00F835D1" w:rsidRPr="00F835D1" w:rsidSect="001E4307">
      <w:headerReference w:type="first" r:id="rId17"/>
      <w:pgSz w:w="12240" w:h="15840"/>
      <w:pgMar w:top="81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854B9" w14:textId="77777777" w:rsidR="00CA39E9" w:rsidRDefault="00CA39E9" w:rsidP="00F835D1">
      <w:pPr>
        <w:spacing w:after="0" w:line="240" w:lineRule="auto"/>
      </w:pPr>
      <w:r>
        <w:separator/>
      </w:r>
    </w:p>
  </w:endnote>
  <w:endnote w:type="continuationSeparator" w:id="0">
    <w:p w14:paraId="5FB2F7FF" w14:textId="77777777" w:rsidR="00CA39E9" w:rsidRDefault="00CA39E9" w:rsidP="00F8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EDC17" w14:textId="77777777" w:rsidR="00CA39E9" w:rsidRDefault="00CA39E9" w:rsidP="00F835D1">
      <w:pPr>
        <w:spacing w:after="0" w:line="240" w:lineRule="auto"/>
      </w:pPr>
      <w:r>
        <w:separator/>
      </w:r>
    </w:p>
  </w:footnote>
  <w:footnote w:type="continuationSeparator" w:id="0">
    <w:p w14:paraId="7AE317CC" w14:textId="77777777" w:rsidR="00CA39E9" w:rsidRDefault="00CA39E9" w:rsidP="00F8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5AD54" w14:textId="532E7259" w:rsidR="001E4307" w:rsidRDefault="001E4307" w:rsidP="001E4307">
    <w:pPr>
      <w:pStyle w:val="Heading1"/>
      <w:jc w:val="center"/>
    </w:pPr>
    <w:r>
      <w:t>202</w:t>
    </w:r>
    <w:r w:rsidR="003C5985">
      <w:t>1</w:t>
    </w:r>
    <w:r>
      <w:t xml:space="preserve"> FYE Timeline and Information</w:t>
    </w:r>
  </w:p>
  <w:p w14:paraId="51BAEC17" w14:textId="77777777" w:rsidR="001E4307" w:rsidRDefault="001E43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B64582"/>
    <w:multiLevelType w:val="hybridMultilevel"/>
    <w:tmpl w:val="99B68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CB9"/>
    <w:rsid w:val="000577E4"/>
    <w:rsid w:val="00083260"/>
    <w:rsid w:val="0009085A"/>
    <w:rsid w:val="00107795"/>
    <w:rsid w:val="00156D50"/>
    <w:rsid w:val="00165F25"/>
    <w:rsid w:val="0018569E"/>
    <w:rsid w:val="001C1325"/>
    <w:rsid w:val="001E4307"/>
    <w:rsid w:val="002472FB"/>
    <w:rsid w:val="002B135C"/>
    <w:rsid w:val="00320DEC"/>
    <w:rsid w:val="00326D73"/>
    <w:rsid w:val="00365211"/>
    <w:rsid w:val="003951B7"/>
    <w:rsid w:val="003C5985"/>
    <w:rsid w:val="00430AFD"/>
    <w:rsid w:val="00456211"/>
    <w:rsid w:val="004B4D72"/>
    <w:rsid w:val="005032A3"/>
    <w:rsid w:val="0061363B"/>
    <w:rsid w:val="006960AE"/>
    <w:rsid w:val="006F2062"/>
    <w:rsid w:val="00756931"/>
    <w:rsid w:val="00786A20"/>
    <w:rsid w:val="008644E5"/>
    <w:rsid w:val="00864619"/>
    <w:rsid w:val="008B6890"/>
    <w:rsid w:val="008C5AA6"/>
    <w:rsid w:val="00907E61"/>
    <w:rsid w:val="00955AF0"/>
    <w:rsid w:val="0098445C"/>
    <w:rsid w:val="00997831"/>
    <w:rsid w:val="009F36A3"/>
    <w:rsid w:val="00A03805"/>
    <w:rsid w:val="00A42C10"/>
    <w:rsid w:val="00A60D03"/>
    <w:rsid w:val="00A744B8"/>
    <w:rsid w:val="00A77949"/>
    <w:rsid w:val="00A84F16"/>
    <w:rsid w:val="00AF34BB"/>
    <w:rsid w:val="00B053E8"/>
    <w:rsid w:val="00B22EAB"/>
    <w:rsid w:val="00B77870"/>
    <w:rsid w:val="00BF5305"/>
    <w:rsid w:val="00C12F56"/>
    <w:rsid w:val="00C17CDF"/>
    <w:rsid w:val="00C56D3B"/>
    <w:rsid w:val="00C72296"/>
    <w:rsid w:val="00CA39E9"/>
    <w:rsid w:val="00CB1162"/>
    <w:rsid w:val="00CB6509"/>
    <w:rsid w:val="00CD0FDA"/>
    <w:rsid w:val="00CF4FF2"/>
    <w:rsid w:val="00D50003"/>
    <w:rsid w:val="00D93D0A"/>
    <w:rsid w:val="00DB1E48"/>
    <w:rsid w:val="00DF7072"/>
    <w:rsid w:val="00E05306"/>
    <w:rsid w:val="00E264CD"/>
    <w:rsid w:val="00E361A5"/>
    <w:rsid w:val="00E36D95"/>
    <w:rsid w:val="00E734B4"/>
    <w:rsid w:val="00EA762B"/>
    <w:rsid w:val="00F237FB"/>
    <w:rsid w:val="00F25C05"/>
    <w:rsid w:val="00F66CEF"/>
    <w:rsid w:val="00F7750D"/>
    <w:rsid w:val="00F835D1"/>
    <w:rsid w:val="00F97CB9"/>
    <w:rsid w:val="00FB51D2"/>
    <w:rsid w:val="00FD6A91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B09A0E"/>
  <w15:chartTrackingRefBased/>
  <w15:docId w15:val="{080159CC-506A-4D87-B971-442D688C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5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6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97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C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3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5D1"/>
  </w:style>
  <w:style w:type="paragraph" w:styleId="Footer">
    <w:name w:val="footer"/>
    <w:basedOn w:val="Normal"/>
    <w:link w:val="FooterChar"/>
    <w:uiPriority w:val="99"/>
    <w:unhideWhenUsed/>
    <w:rsid w:val="00F835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5D1"/>
  </w:style>
  <w:style w:type="character" w:customStyle="1" w:styleId="Heading1Char">
    <w:name w:val="Heading 1 Char"/>
    <w:basedOn w:val="DefaultParagraphFont"/>
    <w:link w:val="Heading1"/>
    <w:uiPriority w:val="9"/>
    <w:rsid w:val="00F835D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60D0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60D0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56931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36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CB1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fsd.mt.gov/SAB/FY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ontana.servicenowservices.com/sp?id=sc_category&amp;catalog_id=b65f628edb7f37009ecc362f7c961988&amp;sys_id=e91813c8db4af3009ecc362f7c961995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ontana.servicenowservices.com/sp?id=kb_view2&amp;kb=d2a99db91be46410b392ed3ce54bcb06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ntana.servicenowservices.com/sp?id=sc_category&amp;catalog_id=b65f628edb7f37009ecc362f7c961988&amp;sys_id=1a385304db4af3009ecc362f7c961984" TargetMode="External"/><Relationship Id="rId5" Type="http://schemas.openxmlformats.org/officeDocument/2006/relationships/styles" Target="styles.xml"/><Relationship Id="rId15" Type="http://schemas.openxmlformats.org/officeDocument/2006/relationships/hyperlink" Target="https://montana.servicenowservices.com/sp?id=kb_view2&amp;kb=a9644643df101200dca6a5f59bf263b6" TargetMode="External"/><Relationship Id="rId10" Type="http://schemas.openxmlformats.org/officeDocument/2006/relationships/hyperlink" Target="https://montana.servicenowservices.com/sp?id=sc_category&amp;catalog_id=b65f628edb7f37009ecc362f7c961988&amp;sys_id=ece7df88db4af3009ecc362f7c9619ea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ontana.servicenowservices.com/sp?id=sc_category&amp;catalog_id=b65f628edb7f37009ecc362f7c961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38CEDF493CC748B4725B435F159C49" ma:contentTypeVersion="9" ma:contentTypeDescription="Create a new document." ma:contentTypeScope="" ma:versionID="30be290a1750f4f3b65eea5d48c966e3">
  <xsd:schema xmlns:xsd="http://www.w3.org/2001/XMLSchema" xmlns:xs="http://www.w3.org/2001/XMLSchema" xmlns:p="http://schemas.microsoft.com/office/2006/metadata/properties" xmlns:ns1="http://schemas.microsoft.com/sharepoint/v3" xmlns:ns3="139f5430-c13e-4b1b-9ae6-8729962f6dd1" targetNamespace="http://schemas.microsoft.com/office/2006/metadata/properties" ma:root="true" ma:fieldsID="4a2b9bf881643b8163c228303bf1abf5" ns1:_="" ns3:_="">
    <xsd:import namespace="http://schemas.microsoft.com/sharepoint/v3"/>
    <xsd:import namespace="139f5430-c13e-4b1b-9ae6-8729962f6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f5430-c13e-4b1b-9ae6-8729962f6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8C1FA7-6389-4B01-BA9A-7256991DC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9f5430-c13e-4b1b-9ae6-8729962f6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A07571-8961-4D9D-9BF1-8585CEA46F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2C6FC-4602-495A-9223-DBE8112EC6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Aaron</dc:creator>
  <cp:keywords/>
  <dc:description/>
  <cp:lastModifiedBy>Cozzie, Kyndra</cp:lastModifiedBy>
  <cp:revision>6</cp:revision>
  <cp:lastPrinted>2018-05-18T15:20:00Z</cp:lastPrinted>
  <dcterms:created xsi:type="dcterms:W3CDTF">2021-05-17T18:57:00Z</dcterms:created>
  <dcterms:modified xsi:type="dcterms:W3CDTF">2021-05-17T19:10:00Z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0x0101009F38CEDF493CC748B4725B435F159C49</vt:lpwstr>
  </property>
</Properties>
</file>